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EE644" w14:textId="09FB4C7B" w:rsidR="00821E3D" w:rsidRDefault="00821E3D" w:rsidP="00367871">
      <w:pPr>
        <w:ind w:right="-200"/>
        <w:jc w:val="both"/>
        <w:rPr>
          <w:rFonts w:ascii="Arial" w:hAnsi="Arial" w:cs="Arial"/>
          <w:b/>
          <w:sz w:val="22"/>
          <w:szCs w:val="22"/>
        </w:rPr>
      </w:pPr>
      <w:r w:rsidRPr="00E647CF">
        <w:rPr>
          <w:rFonts w:ascii="Arial" w:hAnsi="Arial" w:cs="Arial"/>
          <w:b/>
          <w:sz w:val="22"/>
          <w:szCs w:val="22"/>
        </w:rPr>
        <w:t xml:space="preserve">Minutes of the Finance Committee held at </w:t>
      </w:r>
      <w:r w:rsidR="00206830">
        <w:rPr>
          <w:rFonts w:ascii="Arial" w:hAnsi="Arial" w:cs="Arial"/>
          <w:b/>
          <w:sz w:val="22"/>
          <w:szCs w:val="22"/>
        </w:rPr>
        <w:t>Noon</w:t>
      </w:r>
      <w:r w:rsidRPr="00E647CF">
        <w:rPr>
          <w:rFonts w:ascii="Arial" w:hAnsi="Arial" w:cs="Arial"/>
          <w:b/>
          <w:sz w:val="22"/>
          <w:szCs w:val="22"/>
        </w:rPr>
        <w:t xml:space="preserve">, </w:t>
      </w:r>
      <w:r w:rsidR="00206830">
        <w:rPr>
          <w:rFonts w:ascii="Arial" w:hAnsi="Arial" w:cs="Arial"/>
          <w:b/>
          <w:sz w:val="22"/>
          <w:szCs w:val="22"/>
        </w:rPr>
        <w:t>July 13</w:t>
      </w:r>
      <w:r w:rsidR="0029155B">
        <w:rPr>
          <w:rFonts w:ascii="Arial" w:hAnsi="Arial" w:cs="Arial"/>
          <w:b/>
          <w:sz w:val="22"/>
          <w:szCs w:val="22"/>
        </w:rPr>
        <w:t xml:space="preserve"> </w:t>
      </w:r>
      <w:r w:rsidR="00C4043E" w:rsidRPr="00E647CF">
        <w:rPr>
          <w:rFonts w:ascii="Arial" w:hAnsi="Arial" w:cs="Arial"/>
          <w:b/>
          <w:sz w:val="22"/>
          <w:szCs w:val="22"/>
        </w:rPr>
        <w:t>2020</w:t>
      </w:r>
      <w:r w:rsidRPr="00E647CF">
        <w:rPr>
          <w:rFonts w:ascii="Arial" w:hAnsi="Arial" w:cs="Arial"/>
          <w:b/>
          <w:sz w:val="22"/>
          <w:szCs w:val="22"/>
        </w:rPr>
        <w:t xml:space="preserve"> </w:t>
      </w:r>
      <w:r w:rsidR="0029108A">
        <w:rPr>
          <w:rFonts w:ascii="Arial" w:hAnsi="Arial" w:cs="Arial"/>
          <w:b/>
          <w:sz w:val="22"/>
          <w:szCs w:val="22"/>
        </w:rPr>
        <w:t>held online via Microsoft Teams</w:t>
      </w:r>
    </w:p>
    <w:p w14:paraId="28B1B4DE" w14:textId="77777777" w:rsidR="0073657C" w:rsidRDefault="0073657C" w:rsidP="00367871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44745E4C" w14:textId="77777777" w:rsidR="0073657C" w:rsidRDefault="0073657C" w:rsidP="00367871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meeting is held under the following Welsh Statutory Instrument:</w:t>
      </w:r>
    </w:p>
    <w:p w14:paraId="3F52658C" w14:textId="77777777" w:rsidR="0073657C" w:rsidRDefault="0073657C" w:rsidP="00367871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70E80D4" w14:textId="77777777" w:rsidR="0073657C" w:rsidRDefault="0073657C" w:rsidP="00367871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Local Authorities (Coronavirus)(Meetings)(Wales) Regulations 2020</w:t>
      </w:r>
    </w:p>
    <w:p w14:paraId="62711E1B" w14:textId="77777777" w:rsidR="0073657C" w:rsidRDefault="0073657C" w:rsidP="00367871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89CCA87" w14:textId="77777777" w:rsidR="0073657C" w:rsidRDefault="0073657C" w:rsidP="003678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requirement for the press and public to be present is temporarily suspended.</w:t>
      </w:r>
    </w:p>
    <w:p w14:paraId="0FD8F0EE" w14:textId="77777777" w:rsidR="00821E3D" w:rsidRPr="00E647CF" w:rsidRDefault="00821E3D" w:rsidP="00367871">
      <w:pPr>
        <w:ind w:right="-200"/>
        <w:jc w:val="both"/>
        <w:rPr>
          <w:rFonts w:ascii="Arial" w:hAnsi="Arial" w:cs="Arial"/>
          <w:b/>
          <w:sz w:val="22"/>
          <w:szCs w:val="22"/>
        </w:rPr>
      </w:pPr>
    </w:p>
    <w:p w14:paraId="642F5A46" w14:textId="5B4EA5BD" w:rsidR="00493FA6" w:rsidRPr="00E647CF" w:rsidRDefault="00821E3D" w:rsidP="00367871">
      <w:pPr>
        <w:ind w:right="-200"/>
        <w:jc w:val="both"/>
        <w:rPr>
          <w:rFonts w:ascii="Arial" w:hAnsi="Arial" w:cs="Arial"/>
          <w:sz w:val="22"/>
          <w:szCs w:val="22"/>
        </w:rPr>
      </w:pPr>
      <w:r w:rsidRPr="00E647CF">
        <w:rPr>
          <w:rFonts w:ascii="Arial" w:hAnsi="Arial" w:cs="Arial"/>
          <w:b/>
          <w:sz w:val="22"/>
          <w:szCs w:val="22"/>
        </w:rPr>
        <w:t xml:space="preserve">Present: </w:t>
      </w:r>
      <w:r w:rsidRPr="00E647CF">
        <w:rPr>
          <w:rFonts w:ascii="Arial" w:hAnsi="Arial" w:cs="Arial"/>
          <w:sz w:val="22"/>
          <w:szCs w:val="22"/>
        </w:rPr>
        <w:t xml:space="preserve">Cllrs </w:t>
      </w:r>
      <w:r w:rsidR="00C80733" w:rsidRPr="0057019A">
        <w:rPr>
          <w:rFonts w:ascii="Arial" w:hAnsi="Arial" w:cs="Arial"/>
          <w:sz w:val="22"/>
          <w:szCs w:val="22"/>
        </w:rPr>
        <w:t>Mike Sherwood</w:t>
      </w:r>
      <w:r w:rsidR="00FF0A1C" w:rsidRPr="0057019A">
        <w:rPr>
          <w:rFonts w:ascii="Arial" w:hAnsi="Arial" w:cs="Arial"/>
          <w:sz w:val="22"/>
          <w:szCs w:val="22"/>
        </w:rPr>
        <w:t xml:space="preserve">, </w:t>
      </w:r>
      <w:r w:rsidR="0060451E" w:rsidRPr="0057019A">
        <w:rPr>
          <w:rFonts w:ascii="Arial" w:hAnsi="Arial" w:cs="Arial"/>
          <w:sz w:val="22"/>
          <w:szCs w:val="22"/>
        </w:rPr>
        <w:t>Wynford Ellis Owen</w:t>
      </w:r>
      <w:r w:rsidR="00C4043E" w:rsidRPr="0057019A">
        <w:rPr>
          <w:rFonts w:ascii="Arial" w:hAnsi="Arial" w:cs="Arial"/>
          <w:sz w:val="22"/>
          <w:szCs w:val="22"/>
        </w:rPr>
        <w:t xml:space="preserve">, </w:t>
      </w:r>
      <w:r w:rsidR="00DD3C6C" w:rsidRPr="0057019A">
        <w:rPr>
          <w:rFonts w:ascii="Arial" w:hAnsi="Arial" w:cs="Arial"/>
          <w:sz w:val="22"/>
          <w:szCs w:val="22"/>
        </w:rPr>
        <w:t>Stuart Thomas</w:t>
      </w:r>
      <w:r w:rsidR="00C0106C" w:rsidRPr="0057019A">
        <w:rPr>
          <w:rFonts w:ascii="Arial" w:hAnsi="Arial" w:cs="Arial"/>
          <w:sz w:val="22"/>
          <w:szCs w:val="22"/>
        </w:rPr>
        <w:t xml:space="preserve">, </w:t>
      </w:r>
      <w:r w:rsidR="0070790E" w:rsidRPr="0057019A">
        <w:rPr>
          <w:rFonts w:ascii="Arial" w:hAnsi="Arial" w:cs="Arial"/>
          <w:sz w:val="22"/>
          <w:szCs w:val="22"/>
        </w:rPr>
        <w:t>Karen Thomas</w:t>
      </w:r>
    </w:p>
    <w:p w14:paraId="1817C7ED" w14:textId="635D9215" w:rsidR="001F28DC" w:rsidRPr="00E647CF" w:rsidRDefault="001F28DC" w:rsidP="00367871">
      <w:pPr>
        <w:ind w:right="-200"/>
        <w:jc w:val="both"/>
        <w:rPr>
          <w:rFonts w:ascii="Arial" w:hAnsi="Arial" w:cs="Arial"/>
          <w:sz w:val="22"/>
          <w:szCs w:val="22"/>
        </w:rPr>
      </w:pPr>
    </w:p>
    <w:p w14:paraId="169210EB" w14:textId="3871B815" w:rsidR="001F28DC" w:rsidRPr="00E647CF" w:rsidRDefault="001F28DC" w:rsidP="00367871">
      <w:pPr>
        <w:ind w:right="-200"/>
        <w:jc w:val="both"/>
        <w:rPr>
          <w:rFonts w:ascii="Arial" w:hAnsi="Arial" w:cs="Arial"/>
          <w:sz w:val="22"/>
          <w:szCs w:val="22"/>
        </w:rPr>
      </w:pPr>
      <w:r w:rsidRPr="00E647CF">
        <w:rPr>
          <w:rFonts w:ascii="Arial" w:hAnsi="Arial" w:cs="Arial"/>
          <w:b/>
          <w:sz w:val="22"/>
          <w:szCs w:val="22"/>
        </w:rPr>
        <w:t>In attendance:</w:t>
      </w:r>
      <w:r w:rsidRPr="00E647CF">
        <w:rPr>
          <w:rFonts w:ascii="Arial" w:hAnsi="Arial" w:cs="Arial"/>
          <w:sz w:val="22"/>
          <w:szCs w:val="22"/>
        </w:rPr>
        <w:t xml:space="preserve"> Helena Fox</w:t>
      </w:r>
    </w:p>
    <w:p w14:paraId="1BA2AD1D" w14:textId="77777777" w:rsidR="00824713" w:rsidRDefault="00824713" w:rsidP="00367871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8D8CD8D" w14:textId="167BF70E" w:rsidR="0070790E" w:rsidRPr="0070790E" w:rsidRDefault="00824713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EE31B1">
        <w:rPr>
          <w:rFonts w:ascii="Arial" w:hAnsi="Arial" w:cs="Arial"/>
          <w:b/>
          <w:bCs/>
          <w:sz w:val="22"/>
          <w:szCs w:val="22"/>
        </w:rPr>
        <w:t xml:space="preserve">To receive apologies for </w:t>
      </w:r>
      <w:r w:rsidRPr="00A65837">
        <w:rPr>
          <w:rFonts w:ascii="Arial" w:hAnsi="Arial" w:cs="Arial"/>
          <w:b/>
          <w:bCs/>
          <w:sz w:val="22"/>
          <w:szCs w:val="22"/>
        </w:rPr>
        <w:t>absence</w:t>
      </w:r>
      <w:r w:rsidRPr="00A65837">
        <w:rPr>
          <w:rFonts w:ascii="Arial" w:hAnsi="Arial" w:cs="Arial"/>
          <w:sz w:val="22"/>
          <w:szCs w:val="22"/>
        </w:rPr>
        <w:t xml:space="preserve">: </w:t>
      </w:r>
      <w:r w:rsidR="00E14BCA" w:rsidRPr="00A65837">
        <w:rPr>
          <w:rFonts w:ascii="Arial" w:hAnsi="Arial" w:cs="Arial"/>
          <w:sz w:val="22"/>
          <w:szCs w:val="22"/>
        </w:rPr>
        <w:t>Cllr John Harrison</w:t>
      </w:r>
    </w:p>
    <w:p w14:paraId="59E939B2" w14:textId="518AA506" w:rsidR="00824713" w:rsidRPr="00EE31B1" w:rsidRDefault="00824713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E31B1">
        <w:rPr>
          <w:rFonts w:ascii="Arial" w:hAnsi="Arial" w:cs="Arial"/>
          <w:b/>
          <w:bCs/>
          <w:sz w:val="22"/>
          <w:szCs w:val="22"/>
        </w:rPr>
        <w:t>To receive any declarations of interest</w:t>
      </w:r>
      <w:r w:rsidR="00910BF5">
        <w:rPr>
          <w:rFonts w:ascii="Arial" w:hAnsi="Arial" w:cs="Arial"/>
          <w:b/>
          <w:bCs/>
          <w:sz w:val="22"/>
          <w:szCs w:val="22"/>
        </w:rPr>
        <w:t xml:space="preserve">: </w:t>
      </w:r>
      <w:r w:rsidR="00910BF5" w:rsidRPr="00910BF5">
        <w:rPr>
          <w:rFonts w:ascii="Arial" w:hAnsi="Arial" w:cs="Arial"/>
          <w:sz w:val="22"/>
          <w:szCs w:val="22"/>
        </w:rPr>
        <w:t>there were none</w:t>
      </w:r>
    </w:p>
    <w:p w14:paraId="70F0A189" w14:textId="00D79C60" w:rsidR="00216819" w:rsidRPr="00A7372B" w:rsidRDefault="00824713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4C5DBD">
        <w:rPr>
          <w:rFonts w:ascii="Arial" w:hAnsi="Arial" w:cs="Arial"/>
          <w:b/>
          <w:bCs/>
          <w:sz w:val="22"/>
          <w:szCs w:val="22"/>
        </w:rPr>
        <w:t>To receive the monthly bank reconciliations, statements and petty cash</w:t>
      </w:r>
      <w:r w:rsidR="006D6D9D" w:rsidRPr="004C5DBD">
        <w:rPr>
          <w:rFonts w:ascii="Arial" w:hAnsi="Arial" w:cs="Arial"/>
          <w:b/>
          <w:bCs/>
          <w:sz w:val="22"/>
          <w:szCs w:val="22"/>
        </w:rPr>
        <w:t xml:space="preserve">: </w:t>
      </w:r>
      <w:r w:rsidR="006D6D9D" w:rsidRPr="004C5DBD">
        <w:rPr>
          <w:rFonts w:ascii="Arial" w:hAnsi="Arial" w:cs="Arial"/>
          <w:sz w:val="22"/>
          <w:szCs w:val="22"/>
        </w:rPr>
        <w:t xml:space="preserve">Bank reconciliations and </w:t>
      </w:r>
      <w:r w:rsidR="006D6D9D" w:rsidRPr="00FA0705">
        <w:rPr>
          <w:rFonts w:ascii="Arial" w:hAnsi="Arial" w:cs="Arial"/>
          <w:sz w:val="22"/>
          <w:szCs w:val="22"/>
        </w:rPr>
        <w:t xml:space="preserve">statements for accounts </w:t>
      </w:r>
      <w:r w:rsidR="0070790E" w:rsidRPr="00FA0705">
        <w:rPr>
          <w:rFonts w:ascii="Arial" w:hAnsi="Arial" w:cs="Arial"/>
          <w:sz w:val="22"/>
          <w:szCs w:val="22"/>
        </w:rPr>
        <w:t xml:space="preserve">for </w:t>
      </w:r>
      <w:r w:rsidR="00216819" w:rsidRPr="00FA0705">
        <w:rPr>
          <w:rFonts w:ascii="Arial" w:hAnsi="Arial" w:cs="Arial"/>
          <w:sz w:val="22"/>
          <w:szCs w:val="22"/>
        </w:rPr>
        <w:t>June</w:t>
      </w:r>
      <w:r w:rsidR="0070790E" w:rsidRPr="00FA0705">
        <w:rPr>
          <w:rFonts w:ascii="Arial" w:hAnsi="Arial" w:cs="Arial"/>
          <w:sz w:val="22"/>
          <w:szCs w:val="22"/>
        </w:rPr>
        <w:t xml:space="preserve"> </w:t>
      </w:r>
      <w:r w:rsidR="006D6D9D" w:rsidRPr="00FA0705">
        <w:rPr>
          <w:rFonts w:ascii="Arial" w:hAnsi="Arial" w:cs="Arial"/>
          <w:sz w:val="22"/>
          <w:szCs w:val="22"/>
        </w:rPr>
        <w:t>2020 were presented</w:t>
      </w:r>
      <w:r w:rsidR="004C5DBD" w:rsidRPr="00FA0705">
        <w:rPr>
          <w:rFonts w:ascii="Arial" w:hAnsi="Arial" w:cs="Arial"/>
          <w:sz w:val="22"/>
          <w:szCs w:val="22"/>
        </w:rPr>
        <w:t xml:space="preserve"> and</w:t>
      </w:r>
      <w:r w:rsidR="006D6D9D" w:rsidRPr="00FA0705">
        <w:rPr>
          <w:rFonts w:ascii="Arial" w:hAnsi="Arial" w:cs="Arial"/>
          <w:sz w:val="22"/>
          <w:szCs w:val="22"/>
        </w:rPr>
        <w:t xml:space="preserve"> accepted</w:t>
      </w:r>
      <w:r w:rsidR="00216819" w:rsidRPr="00FA0705">
        <w:rPr>
          <w:rFonts w:ascii="Arial" w:hAnsi="Arial" w:cs="Arial"/>
          <w:sz w:val="22"/>
          <w:szCs w:val="22"/>
        </w:rPr>
        <w:t xml:space="preserve">.  </w:t>
      </w:r>
      <w:r w:rsidR="004C5DBD" w:rsidRPr="00FA0705">
        <w:rPr>
          <w:rFonts w:ascii="Arial" w:hAnsi="Arial" w:cs="Arial"/>
          <w:sz w:val="22"/>
          <w:szCs w:val="22"/>
        </w:rPr>
        <w:t xml:space="preserve">Signatures will be </w:t>
      </w:r>
      <w:r w:rsidR="00EB6372" w:rsidRPr="00FA0705">
        <w:rPr>
          <w:rFonts w:ascii="Arial" w:hAnsi="Arial" w:cs="Arial"/>
          <w:sz w:val="22"/>
          <w:szCs w:val="22"/>
        </w:rPr>
        <w:t>applied</w:t>
      </w:r>
      <w:r w:rsidR="004C5DBD" w:rsidRPr="00FA0705">
        <w:rPr>
          <w:rFonts w:ascii="Arial" w:hAnsi="Arial" w:cs="Arial"/>
          <w:sz w:val="22"/>
          <w:szCs w:val="22"/>
        </w:rPr>
        <w:t xml:space="preserve"> digitally.  </w:t>
      </w:r>
    </w:p>
    <w:p w14:paraId="4A606E9D" w14:textId="36696132" w:rsidR="00DC254A" w:rsidRPr="00FA0705" w:rsidRDefault="00824713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A0705">
        <w:rPr>
          <w:rFonts w:ascii="Arial" w:hAnsi="Arial" w:cs="Arial"/>
          <w:b/>
          <w:bCs/>
          <w:sz w:val="22"/>
          <w:szCs w:val="22"/>
        </w:rPr>
        <w:t xml:space="preserve">To receive the schedule of income and expenditure for </w:t>
      </w:r>
      <w:r w:rsidR="008247EF" w:rsidRPr="00FA0705">
        <w:rPr>
          <w:rFonts w:ascii="Arial" w:hAnsi="Arial" w:cs="Arial"/>
          <w:b/>
          <w:bCs/>
          <w:sz w:val="22"/>
          <w:szCs w:val="22"/>
        </w:rPr>
        <w:t>June</w:t>
      </w:r>
      <w:r w:rsidRPr="00FA0705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854906" w:rsidRPr="00FA0705">
        <w:rPr>
          <w:rFonts w:ascii="Arial" w:hAnsi="Arial" w:cs="Arial"/>
          <w:sz w:val="22"/>
          <w:szCs w:val="22"/>
        </w:rPr>
        <w:t xml:space="preserve">: </w:t>
      </w:r>
      <w:r w:rsidR="0070790E" w:rsidRPr="00FA0705">
        <w:rPr>
          <w:rFonts w:ascii="Arial" w:hAnsi="Arial" w:cs="Arial"/>
          <w:sz w:val="22"/>
          <w:szCs w:val="22"/>
        </w:rPr>
        <w:t>these</w:t>
      </w:r>
      <w:r w:rsidR="009E2F1F" w:rsidRPr="00FA0705">
        <w:rPr>
          <w:rFonts w:ascii="Arial" w:hAnsi="Arial" w:cs="Arial"/>
          <w:sz w:val="22"/>
          <w:szCs w:val="22"/>
        </w:rPr>
        <w:t xml:space="preserve"> was reviewed and accepted.     </w:t>
      </w:r>
    </w:p>
    <w:p w14:paraId="041E5C7F" w14:textId="21108B94" w:rsidR="00E135B7" w:rsidRPr="00FA0705" w:rsidRDefault="00824713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A0705">
        <w:rPr>
          <w:rFonts w:ascii="Arial" w:hAnsi="Arial" w:cs="Arial"/>
          <w:b/>
          <w:bCs/>
          <w:sz w:val="22"/>
          <w:szCs w:val="22"/>
        </w:rPr>
        <w:t>To review investment of Council funds</w:t>
      </w:r>
      <w:r w:rsidRPr="00FA0705">
        <w:rPr>
          <w:rFonts w:ascii="Arial" w:hAnsi="Arial" w:cs="Arial"/>
          <w:sz w:val="22"/>
          <w:szCs w:val="22"/>
        </w:rPr>
        <w:t xml:space="preserve">: </w:t>
      </w:r>
      <w:r w:rsidR="00152967" w:rsidRPr="00FA0705">
        <w:rPr>
          <w:rFonts w:ascii="Arial" w:hAnsi="Arial" w:cs="Arial"/>
          <w:sz w:val="22"/>
          <w:szCs w:val="22"/>
        </w:rPr>
        <w:t xml:space="preserve"> </w:t>
      </w:r>
      <w:r w:rsidR="008E6F1E">
        <w:rPr>
          <w:rFonts w:ascii="Arial" w:hAnsi="Arial" w:cs="Arial"/>
          <w:sz w:val="22"/>
          <w:szCs w:val="22"/>
        </w:rPr>
        <w:t>There is £150,414.79 in the CCLA account and £33,628.01 in the Current account at the end of June.</w:t>
      </w:r>
      <w:r w:rsidR="00E556E0">
        <w:rPr>
          <w:rFonts w:ascii="Arial" w:hAnsi="Arial" w:cs="Arial"/>
          <w:sz w:val="22"/>
          <w:szCs w:val="22"/>
        </w:rPr>
        <w:t xml:space="preserve">  No transfer is needed to the Current account this month.</w:t>
      </w:r>
    </w:p>
    <w:p w14:paraId="7B248017" w14:textId="77777777" w:rsidR="0010125C" w:rsidRPr="0010125C" w:rsidRDefault="00B12DA4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7372B">
        <w:rPr>
          <w:rFonts w:ascii="Arial" w:hAnsi="Arial" w:cs="Arial"/>
          <w:b/>
          <w:bCs/>
          <w:sz w:val="22"/>
          <w:szCs w:val="22"/>
        </w:rPr>
        <w:t>To review expenditure/income against budget with explanation of variances and recommend any adjustments</w:t>
      </w:r>
      <w:r w:rsidR="00A7372B">
        <w:rPr>
          <w:rFonts w:ascii="Arial" w:hAnsi="Arial" w:cs="Arial"/>
          <w:b/>
          <w:bCs/>
          <w:sz w:val="22"/>
          <w:szCs w:val="22"/>
        </w:rPr>
        <w:t xml:space="preserve">: </w:t>
      </w:r>
      <w:r w:rsidR="00B5444B" w:rsidRPr="00A7372B">
        <w:rPr>
          <w:rFonts w:ascii="Arial" w:hAnsi="Arial" w:cs="Arial"/>
          <w:sz w:val="22"/>
          <w:szCs w:val="22"/>
        </w:rPr>
        <w:t xml:space="preserve">The </w:t>
      </w:r>
      <w:r w:rsidR="00EA5CB3">
        <w:rPr>
          <w:rFonts w:ascii="Arial" w:hAnsi="Arial" w:cs="Arial"/>
          <w:sz w:val="22"/>
          <w:szCs w:val="22"/>
        </w:rPr>
        <w:t xml:space="preserve">Clerk had prepared a detailed list of variances with recommendations for budget adjustments.  </w:t>
      </w:r>
    </w:p>
    <w:p w14:paraId="2266DFBA" w14:textId="2628C118" w:rsidR="00EA5CB3" w:rsidRPr="00ED5006" w:rsidRDefault="00EA5CB3" w:rsidP="0010125C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5444B" w:rsidRPr="00A7372B">
        <w:rPr>
          <w:rFonts w:ascii="Arial" w:hAnsi="Arial" w:cs="Arial"/>
          <w:sz w:val="22"/>
          <w:szCs w:val="22"/>
        </w:rPr>
        <w:t xml:space="preserve">Committee found </w:t>
      </w:r>
      <w:r>
        <w:rPr>
          <w:rFonts w:ascii="Arial" w:hAnsi="Arial" w:cs="Arial"/>
          <w:sz w:val="22"/>
          <w:szCs w:val="22"/>
        </w:rPr>
        <w:t xml:space="preserve">this useful and made the following </w:t>
      </w:r>
      <w:r w:rsidRPr="00EA5CB3">
        <w:rPr>
          <w:rFonts w:ascii="Arial" w:hAnsi="Arial" w:cs="Arial"/>
          <w:b/>
          <w:bCs/>
          <w:sz w:val="22"/>
          <w:szCs w:val="22"/>
        </w:rPr>
        <w:t>RECOMMENDATIONS</w:t>
      </w:r>
      <w:r>
        <w:rPr>
          <w:rFonts w:ascii="Arial" w:hAnsi="Arial" w:cs="Arial"/>
          <w:sz w:val="22"/>
          <w:szCs w:val="22"/>
        </w:rPr>
        <w:t xml:space="preserve"> for </w:t>
      </w:r>
      <w:r w:rsidR="001065C4">
        <w:rPr>
          <w:rFonts w:ascii="Arial" w:hAnsi="Arial" w:cs="Arial"/>
          <w:sz w:val="22"/>
          <w:szCs w:val="22"/>
        </w:rPr>
        <w:t xml:space="preserve">expenditure </w:t>
      </w:r>
      <w:r>
        <w:rPr>
          <w:rFonts w:ascii="Arial" w:hAnsi="Arial" w:cs="Arial"/>
          <w:sz w:val="22"/>
          <w:szCs w:val="22"/>
        </w:rPr>
        <w:t xml:space="preserve">budget </w:t>
      </w:r>
      <w:r w:rsidRPr="00CD5364">
        <w:rPr>
          <w:rFonts w:ascii="Arial" w:hAnsi="Arial" w:cs="Arial"/>
          <w:sz w:val="22"/>
          <w:szCs w:val="22"/>
        </w:rPr>
        <w:t>adjustments</w:t>
      </w:r>
      <w:r>
        <w:rPr>
          <w:rFonts w:ascii="Arial" w:hAnsi="Arial" w:cs="Arial"/>
          <w:sz w:val="22"/>
          <w:szCs w:val="22"/>
        </w:rPr>
        <w:t>:</w:t>
      </w:r>
    </w:p>
    <w:p w14:paraId="04848898" w14:textId="6B78DEA5" w:rsidR="00ED5006" w:rsidRDefault="00ED5006" w:rsidP="00ED5006">
      <w:pPr>
        <w:overflowPunct w:val="0"/>
        <w:adjustRightInd w:val="0"/>
        <w:spacing w:line="240" w:lineRule="exact"/>
        <w:ind w:left="792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064" w:type="dxa"/>
        <w:tblInd w:w="279" w:type="dxa"/>
        <w:tblLook w:val="04A0" w:firstRow="1" w:lastRow="0" w:firstColumn="1" w:lastColumn="0" w:noHBand="0" w:noVBand="1"/>
      </w:tblPr>
      <w:tblGrid>
        <w:gridCol w:w="887"/>
        <w:gridCol w:w="836"/>
        <w:gridCol w:w="967"/>
        <w:gridCol w:w="3291"/>
        <w:gridCol w:w="4083"/>
      </w:tblGrid>
      <w:tr w:rsidR="00ED5006" w:rsidRPr="007E7D2C" w14:paraId="7E813A28" w14:textId="77777777" w:rsidTr="00E16F60">
        <w:trPr>
          <w:trHeight w:val="104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9E89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Item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CE20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Annual Budget Sum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9217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Over or Under 15% Q1 Variance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A6ED9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Explanation of Variance between Actual Expenditure and end of Q1 Budget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34B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GB"/>
              </w:rPr>
              <w:t>Adjustments Recommended to Annual Budget Sum</w:t>
            </w:r>
          </w:p>
        </w:tc>
      </w:tr>
      <w:tr w:rsidR="00ED5006" w:rsidRPr="007E7D2C" w14:paraId="40CB54B9" w14:textId="77777777" w:rsidTr="00E16F60">
        <w:trPr>
          <w:trHeight w:val="72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10D4A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Staff salary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793FE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85,759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55562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Under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E96FD6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Budget sum is gross for tax and NI and pension.  Budget includes £ for extra hours and staff not yet used.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3968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Decrease to £70,500 to adjust to net salaries paid to existing staff and including estimates for extra staff/hours</w:t>
            </w:r>
          </w:p>
        </w:tc>
      </w:tr>
      <w:tr w:rsidR="00ED5006" w:rsidRPr="007E7D2C" w14:paraId="3A75F1D7" w14:textId="77777777" w:rsidTr="00E16F60">
        <w:trPr>
          <w:trHeight w:val="55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E267B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Payroll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71E64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5B6C6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F1989B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Cost of Sage One increased by about £1/month after budget was set.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4182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Increase to £84</w:t>
            </w:r>
          </w:p>
        </w:tc>
      </w:tr>
      <w:tr w:rsidR="00ED5006" w:rsidRPr="007E7D2C" w14:paraId="01E2A556" w14:textId="77777777" w:rsidTr="00E16F60">
        <w:trPr>
          <w:trHeight w:val="963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BA83C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PAYE, NI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1EB8C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5,100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64D52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C13F8C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Budget sum shows employees and employers contributions combined.  Budgeted sum is correct for Employer only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A1E6" w14:textId="6E78C3E8" w:rsidR="00ED5006" w:rsidRPr="007E7D2C" w:rsidRDefault="00ED5006" w:rsidP="00E16F60">
            <w:pPr>
              <w:autoSpaceDE/>
              <w:autoSpaceDN/>
              <w:jc w:val="both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Increase to £13,655 to include Employer and Employee NI and tax for existing staff.  Would be a small increase if extra staff hired but this is hard to estimate</w:t>
            </w:r>
            <w:r w:rsidR="00175C98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 now</w:t>
            </w:r>
          </w:p>
        </w:tc>
      </w:tr>
      <w:tr w:rsidR="00ED5006" w:rsidRPr="007E7D2C" w14:paraId="553D19B7" w14:textId="77777777" w:rsidTr="00E16F60">
        <w:trPr>
          <w:trHeight w:val="892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D913B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Pension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97F18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15,123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D9375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CEE43E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Report shows employees and employers contributions combined.  Budgeted sum is correct for Employer only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F836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Increase to £20,340 to show Employer and Employee contributions for existing and extra staff</w:t>
            </w:r>
          </w:p>
        </w:tc>
      </w:tr>
      <w:tr w:rsidR="00ED5006" w:rsidRPr="007E7D2C" w14:paraId="10D7E631" w14:textId="77777777" w:rsidTr="00175C98">
        <w:trPr>
          <w:trHeight w:val="527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0631D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71D03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0CEE3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6DA94A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5905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The overall effect of these adjustments is to lower the total salary, NI and pension costs by some £1,500</w:t>
            </w:r>
          </w:p>
        </w:tc>
      </w:tr>
      <w:tr w:rsidR="00ED5006" w:rsidRPr="007E7D2C" w14:paraId="4BF6C4F0" w14:textId="77777777" w:rsidTr="00E16F60">
        <w:trPr>
          <w:trHeight w:val="54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6A351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Creigiau Rec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43923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0BDF7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Under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A4AD28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The £5000 is an EMR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BE41" w14:textId="77777777" w:rsidR="00ED5006" w:rsidRPr="007E7D2C" w:rsidRDefault="00ED5006" w:rsidP="00E16F60">
            <w:pPr>
              <w:autoSpaceDE/>
              <w:autoSpaceDN/>
              <w:jc w:val="both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E7D2C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No budget allocated for Rec expenditure. Use EMR and adjust EMR for next year's budget.</w:t>
            </w:r>
          </w:p>
        </w:tc>
      </w:tr>
    </w:tbl>
    <w:p w14:paraId="17025F53" w14:textId="77777777" w:rsidR="00ED5006" w:rsidRPr="0010125C" w:rsidRDefault="00ED5006" w:rsidP="00ED5006">
      <w:pPr>
        <w:overflowPunct w:val="0"/>
        <w:adjustRightInd w:val="0"/>
        <w:spacing w:line="240" w:lineRule="exact"/>
        <w:ind w:left="792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66E9255" w14:textId="169080F1" w:rsidR="00B12DA4" w:rsidRPr="00D92788" w:rsidRDefault="0010125C" w:rsidP="00D92788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Clerk </w:t>
      </w:r>
      <w:r w:rsidR="00E066E1">
        <w:rPr>
          <w:rFonts w:ascii="Arial" w:hAnsi="Arial" w:cs="Arial"/>
          <w:sz w:val="22"/>
          <w:szCs w:val="22"/>
        </w:rPr>
        <w:t xml:space="preserve">confirmed that expenditure on new notice boards is shown in the budget at nominal code 4550.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F0B074" w14:textId="782F39E5" w:rsidR="00B12DA4" w:rsidRPr="00D4631C" w:rsidRDefault="00B12DA4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5E791C">
        <w:rPr>
          <w:rFonts w:ascii="Arial" w:hAnsi="Arial" w:cs="Arial"/>
          <w:b/>
          <w:bCs/>
          <w:sz w:val="22"/>
          <w:szCs w:val="22"/>
        </w:rPr>
        <w:t>To review the Internal Audit Action Plan:</w:t>
      </w:r>
      <w:r w:rsidR="0057395E">
        <w:rPr>
          <w:rFonts w:ascii="Arial" w:hAnsi="Arial" w:cs="Arial"/>
          <w:b/>
          <w:bCs/>
          <w:sz w:val="22"/>
          <w:szCs w:val="22"/>
        </w:rPr>
        <w:t xml:space="preserve"> </w:t>
      </w:r>
      <w:r w:rsidR="0057395E">
        <w:rPr>
          <w:rFonts w:ascii="Arial" w:hAnsi="Arial" w:cs="Arial"/>
          <w:sz w:val="22"/>
          <w:szCs w:val="22"/>
        </w:rPr>
        <w:t>The Clerk had prepared and circulated the Action Plan in advance.  It was reviewed by the Committee.  No comments were made.</w:t>
      </w:r>
    </w:p>
    <w:p w14:paraId="2A9DED5F" w14:textId="77777777" w:rsidR="00F02623" w:rsidRPr="00F02623" w:rsidRDefault="00F02623" w:rsidP="00F02623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A2F840" w14:textId="6DEDFE6B" w:rsidR="00F02623" w:rsidRPr="00F02623" w:rsidRDefault="00F02623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To revisit the Staff Review:</w:t>
      </w:r>
      <w:r w:rsidR="005460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46034">
        <w:rPr>
          <w:rFonts w:ascii="Arial" w:hAnsi="Arial" w:cs="Arial"/>
          <w:color w:val="000000" w:themeColor="text1"/>
          <w:sz w:val="22"/>
          <w:szCs w:val="22"/>
        </w:rPr>
        <w:t>This had been discussed in detail at the Staffing Committee held on July 8 with recommendations made to the July Full Council meeting.  Funds remain in the budget for extra staff</w:t>
      </w:r>
      <w:r w:rsidR="00C16904">
        <w:rPr>
          <w:rFonts w:ascii="Arial" w:hAnsi="Arial" w:cs="Arial"/>
          <w:color w:val="000000" w:themeColor="text1"/>
          <w:sz w:val="22"/>
          <w:szCs w:val="22"/>
        </w:rPr>
        <w:t xml:space="preserve"> time.</w:t>
      </w:r>
    </w:p>
    <w:p w14:paraId="48C6477F" w14:textId="77777777" w:rsidR="00F02623" w:rsidRPr="00F02623" w:rsidRDefault="00F02623" w:rsidP="00F02623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01C992" w14:textId="29585433" w:rsidR="00662302" w:rsidRPr="00ED21EF" w:rsidRDefault="00B12DA4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5E791C">
        <w:rPr>
          <w:rFonts w:ascii="Arial" w:hAnsi="Arial" w:cs="Arial"/>
          <w:b/>
          <w:bCs/>
          <w:color w:val="000000" w:themeColor="text1"/>
          <w:sz w:val="22"/>
          <w:szCs w:val="22"/>
        </w:rPr>
        <w:t>To consider amended Financial Regulations</w:t>
      </w:r>
      <w:r w:rsidR="00662302">
        <w:rPr>
          <w:rFonts w:ascii="Arial" w:hAnsi="Arial" w:cs="Arial"/>
          <w:color w:val="000000" w:themeColor="text1"/>
          <w:sz w:val="22"/>
          <w:szCs w:val="22"/>
        </w:rPr>
        <w:t>: Cllr Sherwood explained that the Regulations have been amended many times o</w:t>
      </w:r>
      <w:r w:rsidR="00EA5CB3">
        <w:rPr>
          <w:rFonts w:ascii="Arial" w:hAnsi="Arial" w:cs="Arial"/>
          <w:color w:val="000000" w:themeColor="text1"/>
          <w:sz w:val="22"/>
          <w:szCs w:val="22"/>
        </w:rPr>
        <w:t>ver</w:t>
      </w:r>
      <w:r w:rsidR="00662302">
        <w:rPr>
          <w:rFonts w:ascii="Arial" w:hAnsi="Arial" w:cs="Arial"/>
          <w:color w:val="000000" w:themeColor="text1"/>
          <w:sz w:val="22"/>
          <w:szCs w:val="22"/>
        </w:rPr>
        <w:t xml:space="preserve"> the years and this latest </w:t>
      </w:r>
      <w:r w:rsidR="00B60FF3">
        <w:rPr>
          <w:rFonts w:ascii="Arial" w:hAnsi="Arial" w:cs="Arial"/>
          <w:color w:val="000000" w:themeColor="text1"/>
          <w:sz w:val="22"/>
          <w:szCs w:val="22"/>
        </w:rPr>
        <w:t>draft</w:t>
      </w:r>
      <w:r w:rsidR="00662302">
        <w:rPr>
          <w:rFonts w:ascii="Arial" w:hAnsi="Arial" w:cs="Arial"/>
          <w:color w:val="000000" w:themeColor="text1"/>
          <w:sz w:val="22"/>
          <w:szCs w:val="22"/>
        </w:rPr>
        <w:t xml:space="preserve"> was to </w:t>
      </w:r>
      <w:r w:rsidR="00EA5CB3">
        <w:rPr>
          <w:rFonts w:ascii="Arial" w:hAnsi="Arial" w:cs="Arial"/>
          <w:color w:val="000000" w:themeColor="text1"/>
          <w:sz w:val="22"/>
          <w:szCs w:val="22"/>
        </w:rPr>
        <w:t xml:space="preserve">clarify and </w:t>
      </w:r>
      <w:r w:rsidR="00662302">
        <w:rPr>
          <w:rFonts w:ascii="Arial" w:hAnsi="Arial" w:cs="Arial"/>
          <w:color w:val="000000" w:themeColor="text1"/>
          <w:sz w:val="22"/>
          <w:szCs w:val="22"/>
        </w:rPr>
        <w:t xml:space="preserve">simplify them.  </w:t>
      </w:r>
      <w:r w:rsidR="00ED21EF">
        <w:rPr>
          <w:rFonts w:ascii="Arial" w:hAnsi="Arial" w:cs="Arial"/>
          <w:color w:val="000000" w:themeColor="text1"/>
          <w:sz w:val="22"/>
          <w:szCs w:val="22"/>
        </w:rPr>
        <w:t>The Internal Auditor had submitted her comments on the draft.</w:t>
      </w:r>
    </w:p>
    <w:p w14:paraId="2CAC7C6B" w14:textId="3B83E5F4" w:rsidR="006E5984" w:rsidRPr="006E5984" w:rsidRDefault="00332494" w:rsidP="00367871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Following a discussion it</w:t>
      </w:r>
      <w:r w:rsidR="00ED21EF">
        <w:rPr>
          <w:rFonts w:ascii="Arial" w:hAnsi="Arial" w:cs="Arial"/>
          <w:color w:val="000000" w:themeColor="text1"/>
          <w:sz w:val="22"/>
          <w:szCs w:val="22"/>
        </w:rPr>
        <w:t xml:space="preserve"> was </w:t>
      </w:r>
      <w:r w:rsidR="00ED21EF" w:rsidRPr="003D1793">
        <w:rPr>
          <w:rFonts w:ascii="Arial" w:hAnsi="Arial" w:cs="Arial"/>
          <w:b/>
          <w:bCs/>
          <w:color w:val="000000" w:themeColor="text1"/>
          <w:sz w:val="22"/>
          <w:szCs w:val="22"/>
        </w:rPr>
        <w:t>RECOMMENDED</w:t>
      </w:r>
      <w:r w:rsidR="00ED21EF">
        <w:rPr>
          <w:rFonts w:ascii="Arial" w:hAnsi="Arial" w:cs="Arial"/>
          <w:color w:val="000000" w:themeColor="text1"/>
          <w:sz w:val="22"/>
          <w:szCs w:val="22"/>
        </w:rPr>
        <w:t xml:space="preserve"> that</w:t>
      </w:r>
      <w:r w:rsidR="00EA5CB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C93D3B7" w14:textId="5BE3443D" w:rsidR="00ED21EF" w:rsidRPr="006E5984" w:rsidRDefault="00ED21EF" w:rsidP="00367871">
      <w:pPr>
        <w:numPr>
          <w:ilvl w:val="2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Cllr Sherwood </w:t>
      </w:r>
      <w:r w:rsidR="003D1793">
        <w:rPr>
          <w:rFonts w:ascii="Arial" w:hAnsi="Arial" w:cs="Arial"/>
          <w:color w:val="000000" w:themeColor="text1"/>
          <w:sz w:val="22"/>
          <w:szCs w:val="22"/>
        </w:rPr>
        <w:t>amended the draft based on the Internal Auditor’s suggestions</w:t>
      </w:r>
      <w:r w:rsidR="00332494">
        <w:rPr>
          <w:rFonts w:ascii="Arial" w:hAnsi="Arial" w:cs="Arial"/>
          <w:color w:val="000000" w:themeColor="text1"/>
          <w:sz w:val="22"/>
          <w:szCs w:val="22"/>
        </w:rPr>
        <w:t xml:space="preserve"> and the Committee’s comments</w:t>
      </w:r>
      <w:r w:rsidR="003D1793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6E5984">
        <w:rPr>
          <w:rFonts w:ascii="Arial" w:hAnsi="Arial" w:cs="Arial"/>
          <w:color w:val="000000" w:themeColor="text1"/>
          <w:sz w:val="22"/>
          <w:szCs w:val="22"/>
        </w:rPr>
        <w:t>These will be reviewed at the next Finance Committee.</w:t>
      </w:r>
    </w:p>
    <w:p w14:paraId="2A9C2B47" w14:textId="3E95A3F7" w:rsidR="006E5984" w:rsidRPr="006E5984" w:rsidRDefault="006E5984" w:rsidP="00367871">
      <w:pPr>
        <w:numPr>
          <w:ilvl w:val="2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agreed by the Finance Committee, the draft will be sent to Once Voice Wales for their opinion.  After that, </w:t>
      </w:r>
      <w:r w:rsidR="0093461A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will go to full Council.</w:t>
      </w:r>
    </w:p>
    <w:p w14:paraId="06673A88" w14:textId="77777777" w:rsidR="00ED21EF" w:rsidRPr="00FA0705" w:rsidRDefault="00ED21EF" w:rsidP="00367871">
      <w:pPr>
        <w:overflowPunct w:val="0"/>
        <w:adjustRightInd w:val="0"/>
        <w:spacing w:line="240" w:lineRule="exact"/>
        <w:ind w:left="79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28A45F" w14:textId="77777777" w:rsidR="00B60FF3" w:rsidRDefault="00B12DA4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791C">
        <w:rPr>
          <w:rFonts w:ascii="Arial" w:hAnsi="Arial" w:cs="Arial"/>
          <w:b/>
          <w:bCs/>
          <w:color w:val="000000" w:themeColor="text1"/>
          <w:sz w:val="22"/>
          <w:szCs w:val="22"/>
        </w:rPr>
        <w:t>To consider expenditure on survey pins for Creigiau Recreation Area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="0038798A">
        <w:rPr>
          <w:rFonts w:ascii="Arial" w:hAnsi="Arial" w:cs="Arial"/>
          <w:color w:val="000000" w:themeColor="text1"/>
          <w:sz w:val="22"/>
          <w:szCs w:val="22"/>
        </w:rPr>
        <w:t xml:space="preserve"> There is no budget for these pins which are unexpectedly needed to mark out the green boundaries of the land to be leased to Creigiau Recreation Charity</w:t>
      </w:r>
      <w:r w:rsidR="00B60FF3">
        <w:rPr>
          <w:rFonts w:ascii="Arial" w:hAnsi="Arial" w:cs="Arial"/>
          <w:color w:val="000000" w:themeColor="text1"/>
          <w:sz w:val="22"/>
          <w:szCs w:val="22"/>
        </w:rPr>
        <w:t xml:space="preserve"> (CRC)</w:t>
      </w:r>
      <w:r w:rsidR="0038798A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681BB0BA" w14:textId="28B9793A" w:rsidR="006137DD" w:rsidRPr="001D6C36" w:rsidRDefault="0038798A" w:rsidP="00B60FF3">
      <w:pPr>
        <w:numPr>
          <w:ilvl w:val="1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 was </w:t>
      </w:r>
      <w:r w:rsidRPr="0038798A">
        <w:rPr>
          <w:rFonts w:ascii="Arial" w:hAnsi="Arial" w:cs="Arial"/>
          <w:b/>
          <w:bCs/>
          <w:color w:val="000000" w:themeColor="text1"/>
          <w:sz w:val="22"/>
          <w:szCs w:val="22"/>
        </w:rPr>
        <w:t>RECOMMENDED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that up to £500 be allocated from the Ear-Marked Reserve for Creigiau Recreation Area for the purchase of metal survey pins, the length to be agreed by the Clerk in discussion with the Community Maintenance Officers.  </w:t>
      </w:r>
      <w:r w:rsidR="00B12D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PCC Members had met on-site with CRC members.  The position of the boundary will need to be marked in advance and the position of the pins added to a drawing.  </w:t>
      </w:r>
      <w:r w:rsidR="001D6C36">
        <w:rPr>
          <w:rFonts w:ascii="Arial" w:hAnsi="Arial" w:cs="Arial"/>
          <w:color w:val="000000" w:themeColor="text1"/>
          <w:sz w:val="22"/>
          <w:szCs w:val="22"/>
        </w:rPr>
        <w:t>It was noted that CRC’s future plan</w:t>
      </w:r>
      <w:r w:rsidR="00B60FF3">
        <w:rPr>
          <w:rFonts w:ascii="Arial" w:hAnsi="Arial" w:cs="Arial"/>
          <w:color w:val="000000" w:themeColor="text1"/>
          <w:sz w:val="22"/>
          <w:szCs w:val="22"/>
        </w:rPr>
        <w:t>ned</w:t>
      </w:r>
      <w:r w:rsidR="001D6C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37DD" w:rsidRPr="001D6C36">
        <w:rPr>
          <w:rFonts w:ascii="Arial" w:hAnsi="Arial" w:cs="Arial"/>
          <w:color w:val="000000" w:themeColor="text1"/>
          <w:sz w:val="22"/>
          <w:szCs w:val="22"/>
        </w:rPr>
        <w:t xml:space="preserve">boundary path would cross in and out of the lease land.  The pins will establish the boundary and protect trees for the future.  </w:t>
      </w:r>
    </w:p>
    <w:p w14:paraId="62FF6C90" w14:textId="2F375849" w:rsidR="00572558" w:rsidRDefault="00572558" w:rsidP="00367871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BE322FD" w14:textId="134F5874" w:rsidR="00AB46F0" w:rsidRPr="00DC3C20" w:rsidRDefault="00824713" w:rsidP="00DC3C20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To authorize for payment invoices and cheques presented by the RFO</w:t>
      </w:r>
      <w:r w:rsidR="007D03FF">
        <w:rPr>
          <w:rFonts w:ascii="Arial" w:hAnsi="Arial" w:cs="Arial"/>
          <w:b/>
          <w:bCs/>
          <w:sz w:val="22"/>
          <w:szCs w:val="22"/>
        </w:rPr>
        <w:t xml:space="preserve">: </w:t>
      </w:r>
      <w:r w:rsidR="00654133">
        <w:rPr>
          <w:rFonts w:ascii="Arial" w:hAnsi="Arial" w:cs="Arial"/>
          <w:sz w:val="22"/>
          <w:szCs w:val="22"/>
        </w:rPr>
        <w:t>Under the new Welsh Government Regulations and PCC’s own emergency delegated powers these are being authorised electronically.</w:t>
      </w:r>
    </w:p>
    <w:p w14:paraId="6FC11615" w14:textId="4A18CEC2" w:rsidR="00824713" w:rsidRPr="005735D5" w:rsidRDefault="00824713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To consider any overtime for staff (excluding changes to permanent worked hours)</w:t>
      </w:r>
      <w:r w:rsidR="00654133">
        <w:rPr>
          <w:rFonts w:ascii="Arial" w:hAnsi="Arial" w:cs="Arial"/>
          <w:sz w:val="22"/>
          <w:szCs w:val="22"/>
        </w:rPr>
        <w:t>: none.</w:t>
      </w:r>
    </w:p>
    <w:p w14:paraId="554BFBA7" w14:textId="3CE1AA05" w:rsidR="00FA1336" w:rsidRDefault="00824713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E1C10">
        <w:rPr>
          <w:rFonts w:ascii="Arial" w:hAnsi="Arial" w:cs="Arial"/>
          <w:b/>
          <w:bCs/>
          <w:sz w:val="22"/>
          <w:szCs w:val="22"/>
        </w:rPr>
        <w:t>To approve any proposed purchases for budgeted items up to £2,000</w:t>
      </w:r>
      <w:r w:rsidR="00F34CA8">
        <w:rPr>
          <w:rFonts w:ascii="Arial" w:hAnsi="Arial" w:cs="Arial"/>
          <w:b/>
          <w:bCs/>
          <w:sz w:val="22"/>
          <w:szCs w:val="22"/>
        </w:rPr>
        <w:t xml:space="preserve">: </w:t>
      </w:r>
      <w:r w:rsidR="00AB46F0">
        <w:rPr>
          <w:rFonts w:ascii="Arial" w:hAnsi="Arial" w:cs="Arial"/>
          <w:sz w:val="22"/>
          <w:szCs w:val="22"/>
        </w:rPr>
        <w:t>A subscription for Planning Aid Wales training at £120 will be spent out of the Members’ Training budget.</w:t>
      </w:r>
    </w:p>
    <w:p w14:paraId="2069B38A" w14:textId="73C5C64A" w:rsidR="00F071BC" w:rsidRPr="00806117" w:rsidRDefault="00824713" w:rsidP="00367871">
      <w:pPr>
        <w:numPr>
          <w:ilvl w:val="0"/>
          <w:numId w:val="2"/>
        </w:num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71BC">
        <w:rPr>
          <w:rFonts w:ascii="Arial" w:hAnsi="Arial" w:cs="Arial"/>
          <w:b/>
          <w:bCs/>
          <w:sz w:val="22"/>
          <w:szCs w:val="22"/>
        </w:rPr>
        <w:t xml:space="preserve">To make recommendations on any budgeted expenditure over £2,000 as previously approved by Main </w:t>
      </w:r>
      <w:r w:rsidRPr="00806117">
        <w:rPr>
          <w:rFonts w:ascii="Arial" w:hAnsi="Arial" w:cs="Arial"/>
          <w:b/>
          <w:bCs/>
          <w:color w:val="000000" w:themeColor="text1"/>
          <w:sz w:val="22"/>
          <w:szCs w:val="22"/>
        </w:rPr>
        <w:t>Council</w:t>
      </w:r>
      <w:r w:rsidR="0069581B" w:rsidRPr="0080611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599A24C3" w14:textId="77777777" w:rsidR="00F34A59" w:rsidRDefault="00F34A59" w:rsidP="00F34A59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E450B1" w14:textId="7CFEE4BD" w:rsidR="00824713" w:rsidRPr="00806117" w:rsidRDefault="00824713" w:rsidP="00F34A59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061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Date of the next meeting: </w:t>
      </w:r>
      <w:r w:rsidR="00E3082E" w:rsidRPr="00806117">
        <w:rPr>
          <w:rFonts w:ascii="Arial" w:hAnsi="Arial" w:cs="Arial"/>
          <w:color w:val="000000" w:themeColor="text1"/>
          <w:sz w:val="22"/>
          <w:szCs w:val="22"/>
        </w:rPr>
        <w:t>Wednesday</w:t>
      </w:r>
      <w:r w:rsidR="00E079E6" w:rsidRPr="00806117">
        <w:rPr>
          <w:rFonts w:ascii="Arial" w:hAnsi="Arial" w:cs="Arial"/>
          <w:color w:val="000000" w:themeColor="text1"/>
          <w:sz w:val="22"/>
          <w:szCs w:val="22"/>
        </w:rPr>
        <w:t xml:space="preserve"> August</w:t>
      </w:r>
      <w:r w:rsidR="00E75DDE" w:rsidRPr="00806117">
        <w:rPr>
          <w:rFonts w:ascii="Arial" w:hAnsi="Arial" w:cs="Arial"/>
          <w:color w:val="000000" w:themeColor="text1"/>
          <w:sz w:val="22"/>
          <w:szCs w:val="22"/>
        </w:rPr>
        <w:t xml:space="preserve"> 12</w:t>
      </w:r>
      <w:r w:rsidR="00E3082E" w:rsidRPr="00806117">
        <w:rPr>
          <w:rFonts w:ascii="Arial" w:hAnsi="Arial" w:cs="Arial"/>
          <w:color w:val="000000" w:themeColor="text1"/>
          <w:sz w:val="22"/>
          <w:szCs w:val="22"/>
        </w:rPr>
        <w:t xml:space="preserve"> 2020 at </w:t>
      </w:r>
      <w:r w:rsidR="00C4097E" w:rsidRPr="00806117">
        <w:rPr>
          <w:rFonts w:ascii="Arial" w:hAnsi="Arial" w:cs="Arial"/>
          <w:color w:val="000000" w:themeColor="text1"/>
          <w:sz w:val="22"/>
          <w:szCs w:val="22"/>
        </w:rPr>
        <w:t>10:30am</w:t>
      </w:r>
    </w:p>
    <w:p w14:paraId="7CF86965" w14:textId="69466503" w:rsidR="00824713" w:rsidRDefault="00824713" w:rsidP="00367871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F03263" w14:textId="77777777" w:rsidR="00824713" w:rsidRDefault="00824713" w:rsidP="00367871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61D4BC" w14:textId="77777777" w:rsidR="00A17B12" w:rsidRDefault="00A17B12" w:rsidP="00367871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F2AE652" w14:textId="15B7AFF7" w:rsidR="00A17B12" w:rsidRDefault="00A17B12" w:rsidP="00367871">
      <w:pPr>
        <w:overflowPunct w:val="0"/>
        <w:adjustRightInd w:val="0"/>
        <w:spacing w:line="24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0B3D032" w14:textId="46C887D6" w:rsidR="00062E74" w:rsidRPr="00E647CF" w:rsidRDefault="00062E74" w:rsidP="00367871">
      <w:pPr>
        <w:overflowPunct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sz w:val="22"/>
          <w:szCs w:val="22"/>
        </w:rPr>
      </w:pPr>
      <w:r w:rsidRPr="00E647CF">
        <w:rPr>
          <w:rFonts w:ascii="Arial" w:hAnsi="Arial" w:cs="Arial"/>
          <w:sz w:val="22"/>
          <w:szCs w:val="22"/>
        </w:rPr>
        <w:t xml:space="preserve">Signed </w:t>
      </w:r>
      <w:r w:rsidR="00A17B12">
        <w:rPr>
          <w:rFonts w:ascii="Arial" w:hAnsi="Arial" w:cs="Arial"/>
          <w:sz w:val="22"/>
          <w:szCs w:val="22"/>
        </w:rPr>
        <w:t xml:space="preserve">   </w:t>
      </w:r>
      <w:r w:rsidR="00A17B12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60FEABF" wp14:editId="0A276F36">
            <wp:extent cx="2200275" cy="68276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s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67" cy="6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7CF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E647CF">
        <w:rPr>
          <w:rFonts w:ascii="Arial" w:hAnsi="Arial" w:cs="Arial"/>
          <w:sz w:val="22"/>
          <w:szCs w:val="22"/>
        </w:rPr>
        <w:t xml:space="preserve">Dated </w:t>
      </w:r>
      <w:r w:rsidR="006E7887">
        <w:rPr>
          <w:rFonts w:ascii="Arial" w:hAnsi="Arial" w:cs="Arial"/>
          <w:sz w:val="22"/>
          <w:szCs w:val="22"/>
        </w:rPr>
        <w:t>July 20</w:t>
      </w:r>
      <w:r w:rsidR="000436BE">
        <w:rPr>
          <w:rFonts w:ascii="Arial" w:hAnsi="Arial" w:cs="Arial"/>
          <w:sz w:val="22"/>
          <w:szCs w:val="22"/>
        </w:rPr>
        <w:t xml:space="preserve"> </w:t>
      </w:r>
      <w:r w:rsidRPr="00E647CF">
        <w:rPr>
          <w:rFonts w:ascii="Arial" w:hAnsi="Arial" w:cs="Arial"/>
          <w:sz w:val="22"/>
          <w:szCs w:val="22"/>
        </w:rPr>
        <w:t>20</w:t>
      </w:r>
      <w:r w:rsidR="0051681C" w:rsidRPr="00E647CF">
        <w:rPr>
          <w:rFonts w:ascii="Arial" w:hAnsi="Arial" w:cs="Arial"/>
          <w:sz w:val="22"/>
          <w:szCs w:val="22"/>
        </w:rPr>
        <w:t>20</w:t>
      </w:r>
    </w:p>
    <w:sectPr w:rsidR="00062E74" w:rsidRPr="00E647CF" w:rsidSect="003A4E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4BD77" w14:textId="77777777" w:rsidR="00067015" w:rsidRDefault="00067015" w:rsidP="00606584">
      <w:r>
        <w:separator/>
      </w:r>
    </w:p>
  </w:endnote>
  <w:endnote w:type="continuationSeparator" w:id="0">
    <w:p w14:paraId="22C0D78F" w14:textId="77777777" w:rsidR="00067015" w:rsidRDefault="00067015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7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1A82F" w14:textId="09F815B9" w:rsidR="00D66053" w:rsidRDefault="00D66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1A727" w14:textId="77777777" w:rsidR="004F54CB" w:rsidRPr="003A4EBE" w:rsidRDefault="004F54CB" w:rsidP="003A4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95649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10C00058" w14:textId="77777777" w:rsidR="000E7902" w:rsidRPr="004F54CB" w:rsidRDefault="000E7902" w:rsidP="000E7902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0D9F0EF" w14:textId="77777777" w:rsidR="003A4EBE" w:rsidRDefault="000E7902" w:rsidP="000E7902">
    <w:pPr>
      <w:pStyle w:val="Footer"/>
      <w:jc w:val="center"/>
    </w:pPr>
    <w:proofErr w:type="spellStart"/>
    <w:r w:rsidRPr="004F54CB">
      <w:rPr>
        <w:i/>
        <w:sz w:val="18"/>
        <w:szCs w:val="18"/>
      </w:rPr>
      <w:t>Gellir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neu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BE12" w14:textId="77777777" w:rsidR="00067015" w:rsidRDefault="00067015" w:rsidP="00606584">
      <w:r>
        <w:separator/>
      </w:r>
    </w:p>
  </w:footnote>
  <w:footnote w:type="continuationSeparator" w:id="0">
    <w:p w14:paraId="2BF8A634" w14:textId="77777777" w:rsidR="00067015" w:rsidRDefault="00067015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A915" w14:textId="77777777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C1C6" w14:textId="0A3484D7" w:rsidR="003A4EBE" w:rsidRPr="00E21C61" w:rsidRDefault="00E21C61" w:rsidP="00E21C61">
    <w:pPr>
      <w:pStyle w:val="Header"/>
    </w:pPr>
    <w:r>
      <w:rPr>
        <w:noProof/>
        <w:lang w:eastAsia="en-GB"/>
      </w:rPr>
      <w:drawing>
        <wp:inline distT="0" distB="0" distL="0" distR="0" wp14:anchorId="1BD8F311" wp14:editId="6CF1872C">
          <wp:extent cx="5731510" cy="110934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 LETTER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EDE"/>
    <w:multiLevelType w:val="hybridMultilevel"/>
    <w:tmpl w:val="AAC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5D7E"/>
    <w:multiLevelType w:val="multilevel"/>
    <w:tmpl w:val="E6E8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27CA4"/>
    <w:multiLevelType w:val="multilevel"/>
    <w:tmpl w:val="E53CC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F36F7"/>
    <w:multiLevelType w:val="hybridMultilevel"/>
    <w:tmpl w:val="AD46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4DFA"/>
    <w:multiLevelType w:val="hybridMultilevel"/>
    <w:tmpl w:val="33B066B0"/>
    <w:lvl w:ilvl="0" w:tplc="6C661A18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FDD6AE44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BDC0021"/>
    <w:multiLevelType w:val="hybridMultilevel"/>
    <w:tmpl w:val="268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7B71"/>
    <w:multiLevelType w:val="hybridMultilevel"/>
    <w:tmpl w:val="BED44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B4780F"/>
    <w:multiLevelType w:val="hybridMultilevel"/>
    <w:tmpl w:val="4A4470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ECD7151"/>
    <w:multiLevelType w:val="hybridMultilevel"/>
    <w:tmpl w:val="2416E4C2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6480B2C"/>
    <w:multiLevelType w:val="multilevel"/>
    <w:tmpl w:val="EEE455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5C005D"/>
    <w:multiLevelType w:val="hybridMultilevel"/>
    <w:tmpl w:val="6E1A4C94"/>
    <w:lvl w:ilvl="0" w:tplc="A2181852">
      <w:start w:val="20"/>
      <w:numFmt w:val="decimal"/>
      <w:lvlText w:val="%1"/>
      <w:lvlJc w:val="left"/>
      <w:pPr>
        <w:ind w:left="5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30" w:hanging="360"/>
      </w:pPr>
    </w:lvl>
    <w:lvl w:ilvl="2" w:tplc="0809001B" w:tentative="1">
      <w:start w:val="1"/>
      <w:numFmt w:val="lowerRoman"/>
      <w:lvlText w:val="%3."/>
      <w:lvlJc w:val="right"/>
      <w:pPr>
        <w:ind w:left="6450" w:hanging="180"/>
      </w:pPr>
    </w:lvl>
    <w:lvl w:ilvl="3" w:tplc="0809000F" w:tentative="1">
      <w:start w:val="1"/>
      <w:numFmt w:val="decimal"/>
      <w:lvlText w:val="%4."/>
      <w:lvlJc w:val="left"/>
      <w:pPr>
        <w:ind w:left="7170" w:hanging="360"/>
      </w:pPr>
    </w:lvl>
    <w:lvl w:ilvl="4" w:tplc="08090019" w:tentative="1">
      <w:start w:val="1"/>
      <w:numFmt w:val="lowerLetter"/>
      <w:lvlText w:val="%5."/>
      <w:lvlJc w:val="left"/>
      <w:pPr>
        <w:ind w:left="7890" w:hanging="360"/>
      </w:pPr>
    </w:lvl>
    <w:lvl w:ilvl="5" w:tplc="0809001B" w:tentative="1">
      <w:start w:val="1"/>
      <w:numFmt w:val="lowerRoman"/>
      <w:lvlText w:val="%6."/>
      <w:lvlJc w:val="right"/>
      <w:pPr>
        <w:ind w:left="8610" w:hanging="180"/>
      </w:pPr>
    </w:lvl>
    <w:lvl w:ilvl="6" w:tplc="0809000F" w:tentative="1">
      <w:start w:val="1"/>
      <w:numFmt w:val="decimal"/>
      <w:lvlText w:val="%7."/>
      <w:lvlJc w:val="left"/>
      <w:pPr>
        <w:ind w:left="9330" w:hanging="360"/>
      </w:pPr>
    </w:lvl>
    <w:lvl w:ilvl="7" w:tplc="08090019" w:tentative="1">
      <w:start w:val="1"/>
      <w:numFmt w:val="lowerLetter"/>
      <w:lvlText w:val="%8."/>
      <w:lvlJc w:val="left"/>
      <w:pPr>
        <w:ind w:left="10050" w:hanging="360"/>
      </w:pPr>
    </w:lvl>
    <w:lvl w:ilvl="8" w:tplc="0809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12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D217B5F"/>
    <w:multiLevelType w:val="multilevel"/>
    <w:tmpl w:val="EEE455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C45CC0"/>
    <w:multiLevelType w:val="hybridMultilevel"/>
    <w:tmpl w:val="FAAC2C92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65FD7414"/>
    <w:multiLevelType w:val="multilevel"/>
    <w:tmpl w:val="43BE457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C0268D3"/>
    <w:multiLevelType w:val="hybridMultilevel"/>
    <w:tmpl w:val="A75E6E64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6E1445C9"/>
    <w:multiLevelType w:val="multilevel"/>
    <w:tmpl w:val="EEE455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FC34A8"/>
    <w:multiLevelType w:val="multilevel"/>
    <w:tmpl w:val="7988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824367"/>
    <w:multiLevelType w:val="hybridMultilevel"/>
    <w:tmpl w:val="273479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79DB1248"/>
    <w:multiLevelType w:val="hybridMultilevel"/>
    <w:tmpl w:val="E976E7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0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15"/>
  </w:num>
  <w:num w:numId="14">
    <w:abstractNumId w:val="16"/>
  </w:num>
  <w:num w:numId="15">
    <w:abstractNumId w:val="20"/>
  </w:num>
  <w:num w:numId="16">
    <w:abstractNumId w:val="10"/>
  </w:num>
  <w:num w:numId="17">
    <w:abstractNumId w:val="18"/>
  </w:num>
  <w:num w:numId="18">
    <w:abstractNumId w:val="1"/>
  </w:num>
  <w:num w:numId="19">
    <w:abstractNumId w:val="13"/>
  </w:num>
  <w:num w:numId="20">
    <w:abstractNumId w:val="19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24"/>
    <w:rsid w:val="00000E17"/>
    <w:rsid w:val="00002190"/>
    <w:rsid w:val="00002DFA"/>
    <w:rsid w:val="00005403"/>
    <w:rsid w:val="00006346"/>
    <w:rsid w:val="00006FFB"/>
    <w:rsid w:val="00011348"/>
    <w:rsid w:val="00012155"/>
    <w:rsid w:val="0001298A"/>
    <w:rsid w:val="00014A9A"/>
    <w:rsid w:val="0001539F"/>
    <w:rsid w:val="00017CDD"/>
    <w:rsid w:val="000206C7"/>
    <w:rsid w:val="000209F3"/>
    <w:rsid w:val="000242A6"/>
    <w:rsid w:val="000245CD"/>
    <w:rsid w:val="0002733C"/>
    <w:rsid w:val="000277AE"/>
    <w:rsid w:val="000302A3"/>
    <w:rsid w:val="000336E3"/>
    <w:rsid w:val="00034230"/>
    <w:rsid w:val="0004116E"/>
    <w:rsid w:val="000414D9"/>
    <w:rsid w:val="00042726"/>
    <w:rsid w:val="000436BE"/>
    <w:rsid w:val="000471C4"/>
    <w:rsid w:val="0005188F"/>
    <w:rsid w:val="00052032"/>
    <w:rsid w:val="0005416B"/>
    <w:rsid w:val="000549CE"/>
    <w:rsid w:val="00054F78"/>
    <w:rsid w:val="000550B0"/>
    <w:rsid w:val="00056193"/>
    <w:rsid w:val="00056372"/>
    <w:rsid w:val="00060DAD"/>
    <w:rsid w:val="00062E74"/>
    <w:rsid w:val="00064B49"/>
    <w:rsid w:val="00064CA9"/>
    <w:rsid w:val="00067015"/>
    <w:rsid w:val="000706AC"/>
    <w:rsid w:val="00071E2F"/>
    <w:rsid w:val="000729F5"/>
    <w:rsid w:val="000748E5"/>
    <w:rsid w:val="00076B35"/>
    <w:rsid w:val="00080966"/>
    <w:rsid w:val="000845B6"/>
    <w:rsid w:val="00087604"/>
    <w:rsid w:val="00090A32"/>
    <w:rsid w:val="0009532B"/>
    <w:rsid w:val="000962A3"/>
    <w:rsid w:val="00096746"/>
    <w:rsid w:val="000A1DE3"/>
    <w:rsid w:val="000A70C4"/>
    <w:rsid w:val="000A7390"/>
    <w:rsid w:val="000A7A1A"/>
    <w:rsid w:val="000A7B69"/>
    <w:rsid w:val="000B3E7A"/>
    <w:rsid w:val="000B3FE6"/>
    <w:rsid w:val="000B47AD"/>
    <w:rsid w:val="000B7002"/>
    <w:rsid w:val="000C16CA"/>
    <w:rsid w:val="000C3107"/>
    <w:rsid w:val="000D0116"/>
    <w:rsid w:val="000D022A"/>
    <w:rsid w:val="000D0ADB"/>
    <w:rsid w:val="000D249D"/>
    <w:rsid w:val="000D4740"/>
    <w:rsid w:val="000D60FD"/>
    <w:rsid w:val="000D7A66"/>
    <w:rsid w:val="000E25A5"/>
    <w:rsid w:val="000E4362"/>
    <w:rsid w:val="000E57B5"/>
    <w:rsid w:val="000E7902"/>
    <w:rsid w:val="000E7F0A"/>
    <w:rsid w:val="000F16E3"/>
    <w:rsid w:val="000F2C8F"/>
    <w:rsid w:val="000F3D08"/>
    <w:rsid w:val="000F3FED"/>
    <w:rsid w:val="000F41E0"/>
    <w:rsid w:val="000F4A52"/>
    <w:rsid w:val="000F6B02"/>
    <w:rsid w:val="00100E9C"/>
    <w:rsid w:val="001011CC"/>
    <w:rsid w:val="0010125C"/>
    <w:rsid w:val="0010171F"/>
    <w:rsid w:val="0010413D"/>
    <w:rsid w:val="001044B8"/>
    <w:rsid w:val="001046EF"/>
    <w:rsid w:val="00105285"/>
    <w:rsid w:val="001065C4"/>
    <w:rsid w:val="00106665"/>
    <w:rsid w:val="0010759C"/>
    <w:rsid w:val="0011035A"/>
    <w:rsid w:val="0011096B"/>
    <w:rsid w:val="00110C00"/>
    <w:rsid w:val="001121FF"/>
    <w:rsid w:val="00113E73"/>
    <w:rsid w:val="00116CA3"/>
    <w:rsid w:val="00116F13"/>
    <w:rsid w:val="001175DC"/>
    <w:rsid w:val="00117E8C"/>
    <w:rsid w:val="00121ED3"/>
    <w:rsid w:val="0012314B"/>
    <w:rsid w:val="00124059"/>
    <w:rsid w:val="001245CA"/>
    <w:rsid w:val="00125F19"/>
    <w:rsid w:val="00126102"/>
    <w:rsid w:val="00127774"/>
    <w:rsid w:val="00127C7D"/>
    <w:rsid w:val="001302A1"/>
    <w:rsid w:val="00130952"/>
    <w:rsid w:val="00133743"/>
    <w:rsid w:val="00134093"/>
    <w:rsid w:val="001366B2"/>
    <w:rsid w:val="00140794"/>
    <w:rsid w:val="00143F8F"/>
    <w:rsid w:val="00144FE9"/>
    <w:rsid w:val="00145ACB"/>
    <w:rsid w:val="00152967"/>
    <w:rsid w:val="001542E4"/>
    <w:rsid w:val="00161131"/>
    <w:rsid w:val="00162CBB"/>
    <w:rsid w:val="0016321E"/>
    <w:rsid w:val="0016472C"/>
    <w:rsid w:val="00164C51"/>
    <w:rsid w:val="00166747"/>
    <w:rsid w:val="00167A6E"/>
    <w:rsid w:val="00170922"/>
    <w:rsid w:val="001748E8"/>
    <w:rsid w:val="00175C98"/>
    <w:rsid w:val="00177A8A"/>
    <w:rsid w:val="0018177C"/>
    <w:rsid w:val="00182F89"/>
    <w:rsid w:val="001830CF"/>
    <w:rsid w:val="001833E9"/>
    <w:rsid w:val="00183682"/>
    <w:rsid w:val="001837A8"/>
    <w:rsid w:val="00184240"/>
    <w:rsid w:val="00185A88"/>
    <w:rsid w:val="001867B0"/>
    <w:rsid w:val="00186C27"/>
    <w:rsid w:val="00187EA7"/>
    <w:rsid w:val="00190B27"/>
    <w:rsid w:val="00194CEC"/>
    <w:rsid w:val="00196538"/>
    <w:rsid w:val="001968B1"/>
    <w:rsid w:val="001971D9"/>
    <w:rsid w:val="001A0846"/>
    <w:rsid w:val="001A0862"/>
    <w:rsid w:val="001A1EF3"/>
    <w:rsid w:val="001A1FB2"/>
    <w:rsid w:val="001A58C9"/>
    <w:rsid w:val="001A6400"/>
    <w:rsid w:val="001A79A4"/>
    <w:rsid w:val="001A7CB9"/>
    <w:rsid w:val="001B152F"/>
    <w:rsid w:val="001B1C23"/>
    <w:rsid w:val="001B251A"/>
    <w:rsid w:val="001B37CB"/>
    <w:rsid w:val="001B5ECE"/>
    <w:rsid w:val="001B6B94"/>
    <w:rsid w:val="001C17AF"/>
    <w:rsid w:val="001C1A26"/>
    <w:rsid w:val="001C48D4"/>
    <w:rsid w:val="001C5E9B"/>
    <w:rsid w:val="001C68E6"/>
    <w:rsid w:val="001C78D5"/>
    <w:rsid w:val="001D0A91"/>
    <w:rsid w:val="001D4767"/>
    <w:rsid w:val="001D6A35"/>
    <w:rsid w:val="001D6C36"/>
    <w:rsid w:val="001D6C58"/>
    <w:rsid w:val="001E06CF"/>
    <w:rsid w:val="001E0F05"/>
    <w:rsid w:val="001E11A9"/>
    <w:rsid w:val="001E44B6"/>
    <w:rsid w:val="001E4A48"/>
    <w:rsid w:val="001E4D76"/>
    <w:rsid w:val="001E557C"/>
    <w:rsid w:val="001E6EE4"/>
    <w:rsid w:val="001F043C"/>
    <w:rsid w:val="001F0DBC"/>
    <w:rsid w:val="001F1229"/>
    <w:rsid w:val="001F28DC"/>
    <w:rsid w:val="001F3E68"/>
    <w:rsid w:val="001F3E98"/>
    <w:rsid w:val="001F50E9"/>
    <w:rsid w:val="001F536B"/>
    <w:rsid w:val="001F6DD5"/>
    <w:rsid w:val="002006EF"/>
    <w:rsid w:val="00203154"/>
    <w:rsid w:val="002042F6"/>
    <w:rsid w:val="002044E6"/>
    <w:rsid w:val="00205FF3"/>
    <w:rsid w:val="00206830"/>
    <w:rsid w:val="00211C6D"/>
    <w:rsid w:val="00211D80"/>
    <w:rsid w:val="002123FC"/>
    <w:rsid w:val="00212DD3"/>
    <w:rsid w:val="002142D7"/>
    <w:rsid w:val="00214B7C"/>
    <w:rsid w:val="00215DAB"/>
    <w:rsid w:val="00216819"/>
    <w:rsid w:val="00220DEC"/>
    <w:rsid w:val="00220F8D"/>
    <w:rsid w:val="002228A3"/>
    <w:rsid w:val="00223416"/>
    <w:rsid w:val="00224525"/>
    <w:rsid w:val="002260FD"/>
    <w:rsid w:val="002266B9"/>
    <w:rsid w:val="00230CC4"/>
    <w:rsid w:val="00230D25"/>
    <w:rsid w:val="00232E6A"/>
    <w:rsid w:val="002339D1"/>
    <w:rsid w:val="00233E14"/>
    <w:rsid w:val="00235A87"/>
    <w:rsid w:val="00237275"/>
    <w:rsid w:val="00237C5C"/>
    <w:rsid w:val="00241F5B"/>
    <w:rsid w:val="00242415"/>
    <w:rsid w:val="00245637"/>
    <w:rsid w:val="00245902"/>
    <w:rsid w:val="0024731C"/>
    <w:rsid w:val="00247324"/>
    <w:rsid w:val="002510FD"/>
    <w:rsid w:val="002511F6"/>
    <w:rsid w:val="002526D3"/>
    <w:rsid w:val="00253E5B"/>
    <w:rsid w:val="002549CF"/>
    <w:rsid w:val="00256725"/>
    <w:rsid w:val="00256BBC"/>
    <w:rsid w:val="002575A4"/>
    <w:rsid w:val="00260CF4"/>
    <w:rsid w:val="00261EF8"/>
    <w:rsid w:val="00266565"/>
    <w:rsid w:val="00267678"/>
    <w:rsid w:val="00271353"/>
    <w:rsid w:val="00273840"/>
    <w:rsid w:val="00273D50"/>
    <w:rsid w:val="00273E19"/>
    <w:rsid w:val="00275634"/>
    <w:rsid w:val="002757CC"/>
    <w:rsid w:val="00276CF2"/>
    <w:rsid w:val="00280CB9"/>
    <w:rsid w:val="00283025"/>
    <w:rsid w:val="00283D96"/>
    <w:rsid w:val="00284C4E"/>
    <w:rsid w:val="00285236"/>
    <w:rsid w:val="002857FB"/>
    <w:rsid w:val="0029108A"/>
    <w:rsid w:val="002911A4"/>
    <w:rsid w:val="0029155B"/>
    <w:rsid w:val="00292543"/>
    <w:rsid w:val="00294282"/>
    <w:rsid w:val="00294A4A"/>
    <w:rsid w:val="002953C7"/>
    <w:rsid w:val="00297B0D"/>
    <w:rsid w:val="002A1120"/>
    <w:rsid w:val="002A2D12"/>
    <w:rsid w:val="002A4822"/>
    <w:rsid w:val="002A4E19"/>
    <w:rsid w:val="002A4F1C"/>
    <w:rsid w:val="002A6AB9"/>
    <w:rsid w:val="002A7E68"/>
    <w:rsid w:val="002A7F6D"/>
    <w:rsid w:val="002B55AD"/>
    <w:rsid w:val="002B59E7"/>
    <w:rsid w:val="002B727F"/>
    <w:rsid w:val="002B78D1"/>
    <w:rsid w:val="002C35E7"/>
    <w:rsid w:val="002C3934"/>
    <w:rsid w:val="002C55A2"/>
    <w:rsid w:val="002C57D5"/>
    <w:rsid w:val="002D1E57"/>
    <w:rsid w:val="002D26B0"/>
    <w:rsid w:val="002D274E"/>
    <w:rsid w:val="002D304C"/>
    <w:rsid w:val="002D3D46"/>
    <w:rsid w:val="002E2556"/>
    <w:rsid w:val="002E36A1"/>
    <w:rsid w:val="002E410E"/>
    <w:rsid w:val="002E419F"/>
    <w:rsid w:val="002E4DCC"/>
    <w:rsid w:val="002F0957"/>
    <w:rsid w:val="002F17DD"/>
    <w:rsid w:val="002F2C78"/>
    <w:rsid w:val="002F5190"/>
    <w:rsid w:val="002F5D62"/>
    <w:rsid w:val="002F7686"/>
    <w:rsid w:val="002F7904"/>
    <w:rsid w:val="00301601"/>
    <w:rsid w:val="00301817"/>
    <w:rsid w:val="00302CAB"/>
    <w:rsid w:val="00304988"/>
    <w:rsid w:val="00304C72"/>
    <w:rsid w:val="00306926"/>
    <w:rsid w:val="0030723F"/>
    <w:rsid w:val="00310205"/>
    <w:rsid w:val="00311C8A"/>
    <w:rsid w:val="003161AF"/>
    <w:rsid w:val="00317E7E"/>
    <w:rsid w:val="00317F2D"/>
    <w:rsid w:val="0032071A"/>
    <w:rsid w:val="003213C1"/>
    <w:rsid w:val="0032286E"/>
    <w:rsid w:val="003238F2"/>
    <w:rsid w:val="003250D7"/>
    <w:rsid w:val="00326431"/>
    <w:rsid w:val="00327D52"/>
    <w:rsid w:val="00330444"/>
    <w:rsid w:val="00331BC8"/>
    <w:rsid w:val="00332494"/>
    <w:rsid w:val="00333AA2"/>
    <w:rsid w:val="00334BC6"/>
    <w:rsid w:val="00334C5B"/>
    <w:rsid w:val="00337DEF"/>
    <w:rsid w:val="00342970"/>
    <w:rsid w:val="00344743"/>
    <w:rsid w:val="00345F53"/>
    <w:rsid w:val="00346716"/>
    <w:rsid w:val="00350EC8"/>
    <w:rsid w:val="003511C9"/>
    <w:rsid w:val="00352391"/>
    <w:rsid w:val="00353CBF"/>
    <w:rsid w:val="003553D9"/>
    <w:rsid w:val="0035595A"/>
    <w:rsid w:val="00356B4E"/>
    <w:rsid w:val="00362FD5"/>
    <w:rsid w:val="0036331D"/>
    <w:rsid w:val="00363648"/>
    <w:rsid w:val="0036610A"/>
    <w:rsid w:val="003661A4"/>
    <w:rsid w:val="00367871"/>
    <w:rsid w:val="003704FA"/>
    <w:rsid w:val="00372B44"/>
    <w:rsid w:val="00374D84"/>
    <w:rsid w:val="003765B2"/>
    <w:rsid w:val="0038226D"/>
    <w:rsid w:val="00382628"/>
    <w:rsid w:val="00382A5D"/>
    <w:rsid w:val="0038350C"/>
    <w:rsid w:val="0038396D"/>
    <w:rsid w:val="0038798A"/>
    <w:rsid w:val="00387A27"/>
    <w:rsid w:val="003952CB"/>
    <w:rsid w:val="00395581"/>
    <w:rsid w:val="00396111"/>
    <w:rsid w:val="0039744A"/>
    <w:rsid w:val="00397CE4"/>
    <w:rsid w:val="003A13EE"/>
    <w:rsid w:val="003A3760"/>
    <w:rsid w:val="003A3D30"/>
    <w:rsid w:val="003A43A5"/>
    <w:rsid w:val="003A4EBE"/>
    <w:rsid w:val="003A5BA6"/>
    <w:rsid w:val="003A7DA1"/>
    <w:rsid w:val="003B03D9"/>
    <w:rsid w:val="003B092B"/>
    <w:rsid w:val="003B1DF5"/>
    <w:rsid w:val="003B27F2"/>
    <w:rsid w:val="003B2A36"/>
    <w:rsid w:val="003B3884"/>
    <w:rsid w:val="003B5FCA"/>
    <w:rsid w:val="003B6FE1"/>
    <w:rsid w:val="003B7003"/>
    <w:rsid w:val="003C4211"/>
    <w:rsid w:val="003C6C2F"/>
    <w:rsid w:val="003D1793"/>
    <w:rsid w:val="003D1AB4"/>
    <w:rsid w:val="003D3103"/>
    <w:rsid w:val="003D4C74"/>
    <w:rsid w:val="003D54D0"/>
    <w:rsid w:val="003D5512"/>
    <w:rsid w:val="003E0451"/>
    <w:rsid w:val="003E0A0F"/>
    <w:rsid w:val="003E17EB"/>
    <w:rsid w:val="003E1C9C"/>
    <w:rsid w:val="003E27FC"/>
    <w:rsid w:val="003E354E"/>
    <w:rsid w:val="003E4FBD"/>
    <w:rsid w:val="003E6E98"/>
    <w:rsid w:val="003E6FCE"/>
    <w:rsid w:val="003F10B1"/>
    <w:rsid w:val="003F1176"/>
    <w:rsid w:val="003F1A98"/>
    <w:rsid w:val="003F2A7E"/>
    <w:rsid w:val="003F3966"/>
    <w:rsid w:val="003F3AF0"/>
    <w:rsid w:val="003F42D8"/>
    <w:rsid w:val="003F4C97"/>
    <w:rsid w:val="003F5975"/>
    <w:rsid w:val="003F5E48"/>
    <w:rsid w:val="003F6A96"/>
    <w:rsid w:val="003F6E3E"/>
    <w:rsid w:val="003F73A5"/>
    <w:rsid w:val="003F7DA9"/>
    <w:rsid w:val="00400817"/>
    <w:rsid w:val="00401B89"/>
    <w:rsid w:val="00401C81"/>
    <w:rsid w:val="00402A5A"/>
    <w:rsid w:val="00405146"/>
    <w:rsid w:val="00405366"/>
    <w:rsid w:val="004065A4"/>
    <w:rsid w:val="0040745A"/>
    <w:rsid w:val="004110A0"/>
    <w:rsid w:val="0041123E"/>
    <w:rsid w:val="004146E1"/>
    <w:rsid w:val="00416BD7"/>
    <w:rsid w:val="00420070"/>
    <w:rsid w:val="004217EF"/>
    <w:rsid w:val="00422F50"/>
    <w:rsid w:val="00424068"/>
    <w:rsid w:val="00427526"/>
    <w:rsid w:val="00427AA6"/>
    <w:rsid w:val="00432FDE"/>
    <w:rsid w:val="00433245"/>
    <w:rsid w:val="00433CBC"/>
    <w:rsid w:val="00434446"/>
    <w:rsid w:val="004344DF"/>
    <w:rsid w:val="00435DA3"/>
    <w:rsid w:val="0043679A"/>
    <w:rsid w:val="004408F2"/>
    <w:rsid w:val="00440B59"/>
    <w:rsid w:val="00441232"/>
    <w:rsid w:val="00445E25"/>
    <w:rsid w:val="0044711C"/>
    <w:rsid w:val="004479FD"/>
    <w:rsid w:val="0045088C"/>
    <w:rsid w:val="00454A20"/>
    <w:rsid w:val="00455635"/>
    <w:rsid w:val="004556D6"/>
    <w:rsid w:val="00456D81"/>
    <w:rsid w:val="004577DE"/>
    <w:rsid w:val="00457F02"/>
    <w:rsid w:val="00460A2A"/>
    <w:rsid w:val="00464C2B"/>
    <w:rsid w:val="004711D9"/>
    <w:rsid w:val="00473CD7"/>
    <w:rsid w:val="004746C7"/>
    <w:rsid w:val="0047667C"/>
    <w:rsid w:val="004814AD"/>
    <w:rsid w:val="00482BE4"/>
    <w:rsid w:val="00485D6F"/>
    <w:rsid w:val="00485E6C"/>
    <w:rsid w:val="00486631"/>
    <w:rsid w:val="004904B7"/>
    <w:rsid w:val="0049272A"/>
    <w:rsid w:val="0049282F"/>
    <w:rsid w:val="00493180"/>
    <w:rsid w:val="004935E0"/>
    <w:rsid w:val="00493FA6"/>
    <w:rsid w:val="00495348"/>
    <w:rsid w:val="00496D0D"/>
    <w:rsid w:val="00497B4A"/>
    <w:rsid w:val="00497D3A"/>
    <w:rsid w:val="00497FB4"/>
    <w:rsid w:val="004A0D78"/>
    <w:rsid w:val="004A1F60"/>
    <w:rsid w:val="004A2B39"/>
    <w:rsid w:val="004A30E0"/>
    <w:rsid w:val="004A4335"/>
    <w:rsid w:val="004A68FF"/>
    <w:rsid w:val="004A6D5E"/>
    <w:rsid w:val="004A717F"/>
    <w:rsid w:val="004A7F79"/>
    <w:rsid w:val="004B0977"/>
    <w:rsid w:val="004B0DA9"/>
    <w:rsid w:val="004B1B22"/>
    <w:rsid w:val="004B1F2F"/>
    <w:rsid w:val="004B2386"/>
    <w:rsid w:val="004B33F9"/>
    <w:rsid w:val="004B3A62"/>
    <w:rsid w:val="004B50DA"/>
    <w:rsid w:val="004B5992"/>
    <w:rsid w:val="004B616F"/>
    <w:rsid w:val="004B7347"/>
    <w:rsid w:val="004C0920"/>
    <w:rsid w:val="004C1199"/>
    <w:rsid w:val="004C4633"/>
    <w:rsid w:val="004C5DBD"/>
    <w:rsid w:val="004D0FFA"/>
    <w:rsid w:val="004D13C6"/>
    <w:rsid w:val="004D13EF"/>
    <w:rsid w:val="004D1883"/>
    <w:rsid w:val="004D2055"/>
    <w:rsid w:val="004D292B"/>
    <w:rsid w:val="004D2BD5"/>
    <w:rsid w:val="004D3798"/>
    <w:rsid w:val="004D46E6"/>
    <w:rsid w:val="004D53F3"/>
    <w:rsid w:val="004D59D6"/>
    <w:rsid w:val="004D71BE"/>
    <w:rsid w:val="004E0BDF"/>
    <w:rsid w:val="004E135D"/>
    <w:rsid w:val="004E1B03"/>
    <w:rsid w:val="004E2F2E"/>
    <w:rsid w:val="004E3856"/>
    <w:rsid w:val="004E449F"/>
    <w:rsid w:val="004E459A"/>
    <w:rsid w:val="004F065A"/>
    <w:rsid w:val="004F201E"/>
    <w:rsid w:val="004F54CB"/>
    <w:rsid w:val="004F6006"/>
    <w:rsid w:val="004F6B9E"/>
    <w:rsid w:val="00501B78"/>
    <w:rsid w:val="0050503B"/>
    <w:rsid w:val="00505C62"/>
    <w:rsid w:val="005063F7"/>
    <w:rsid w:val="00506F29"/>
    <w:rsid w:val="005075D2"/>
    <w:rsid w:val="0051011B"/>
    <w:rsid w:val="0051112F"/>
    <w:rsid w:val="005112BF"/>
    <w:rsid w:val="00511D83"/>
    <w:rsid w:val="005124F7"/>
    <w:rsid w:val="0051284A"/>
    <w:rsid w:val="0051291D"/>
    <w:rsid w:val="005131CC"/>
    <w:rsid w:val="0051438E"/>
    <w:rsid w:val="00514412"/>
    <w:rsid w:val="0051488C"/>
    <w:rsid w:val="00515F02"/>
    <w:rsid w:val="0051681C"/>
    <w:rsid w:val="0052085A"/>
    <w:rsid w:val="00520B11"/>
    <w:rsid w:val="005219C3"/>
    <w:rsid w:val="00522C3D"/>
    <w:rsid w:val="00526DE5"/>
    <w:rsid w:val="00533C9C"/>
    <w:rsid w:val="0053544D"/>
    <w:rsid w:val="0053612A"/>
    <w:rsid w:val="00537972"/>
    <w:rsid w:val="00537E33"/>
    <w:rsid w:val="00541CCC"/>
    <w:rsid w:val="005420DA"/>
    <w:rsid w:val="00542BD8"/>
    <w:rsid w:val="0054365A"/>
    <w:rsid w:val="0054562D"/>
    <w:rsid w:val="00546034"/>
    <w:rsid w:val="005471F9"/>
    <w:rsid w:val="00547DCF"/>
    <w:rsid w:val="00554AB6"/>
    <w:rsid w:val="00555682"/>
    <w:rsid w:val="00560A84"/>
    <w:rsid w:val="00561F28"/>
    <w:rsid w:val="00562B94"/>
    <w:rsid w:val="00562C50"/>
    <w:rsid w:val="00564549"/>
    <w:rsid w:val="0056458D"/>
    <w:rsid w:val="00565406"/>
    <w:rsid w:val="00565D7D"/>
    <w:rsid w:val="0057019A"/>
    <w:rsid w:val="00571417"/>
    <w:rsid w:val="00572558"/>
    <w:rsid w:val="0057395E"/>
    <w:rsid w:val="005748F0"/>
    <w:rsid w:val="00574B88"/>
    <w:rsid w:val="00574FD2"/>
    <w:rsid w:val="00576F19"/>
    <w:rsid w:val="005817D8"/>
    <w:rsid w:val="00581FAD"/>
    <w:rsid w:val="00581FFE"/>
    <w:rsid w:val="005824A8"/>
    <w:rsid w:val="005824DF"/>
    <w:rsid w:val="005826A3"/>
    <w:rsid w:val="00585AA9"/>
    <w:rsid w:val="005865BC"/>
    <w:rsid w:val="005917DA"/>
    <w:rsid w:val="00591AE3"/>
    <w:rsid w:val="005927A3"/>
    <w:rsid w:val="00596F58"/>
    <w:rsid w:val="005A0747"/>
    <w:rsid w:val="005A12E3"/>
    <w:rsid w:val="005A40BA"/>
    <w:rsid w:val="005A4871"/>
    <w:rsid w:val="005A52A7"/>
    <w:rsid w:val="005A6004"/>
    <w:rsid w:val="005A6D4D"/>
    <w:rsid w:val="005A6E84"/>
    <w:rsid w:val="005B040B"/>
    <w:rsid w:val="005B5D78"/>
    <w:rsid w:val="005B7859"/>
    <w:rsid w:val="005C10F9"/>
    <w:rsid w:val="005C309A"/>
    <w:rsid w:val="005C3FA1"/>
    <w:rsid w:val="005C7CD6"/>
    <w:rsid w:val="005D0CF0"/>
    <w:rsid w:val="005D2565"/>
    <w:rsid w:val="005D2E10"/>
    <w:rsid w:val="005D3273"/>
    <w:rsid w:val="005D33C4"/>
    <w:rsid w:val="005D3F5D"/>
    <w:rsid w:val="005D45E6"/>
    <w:rsid w:val="005D5378"/>
    <w:rsid w:val="005D5AE3"/>
    <w:rsid w:val="005D66A6"/>
    <w:rsid w:val="005E156C"/>
    <w:rsid w:val="005E25F8"/>
    <w:rsid w:val="005E42D0"/>
    <w:rsid w:val="005E44E0"/>
    <w:rsid w:val="005E7589"/>
    <w:rsid w:val="005E791C"/>
    <w:rsid w:val="005F0322"/>
    <w:rsid w:val="005F09A8"/>
    <w:rsid w:val="005F14FF"/>
    <w:rsid w:val="005F152F"/>
    <w:rsid w:val="005F620E"/>
    <w:rsid w:val="005F6748"/>
    <w:rsid w:val="006006A0"/>
    <w:rsid w:val="0060127D"/>
    <w:rsid w:val="00602053"/>
    <w:rsid w:val="006024EF"/>
    <w:rsid w:val="0060308F"/>
    <w:rsid w:val="00603CC9"/>
    <w:rsid w:val="0060451E"/>
    <w:rsid w:val="00606584"/>
    <w:rsid w:val="00606BB8"/>
    <w:rsid w:val="00612D26"/>
    <w:rsid w:val="0061301A"/>
    <w:rsid w:val="006137DD"/>
    <w:rsid w:val="00614531"/>
    <w:rsid w:val="00614552"/>
    <w:rsid w:val="00614C8B"/>
    <w:rsid w:val="006171BE"/>
    <w:rsid w:val="00617BF2"/>
    <w:rsid w:val="00617C53"/>
    <w:rsid w:val="00620A12"/>
    <w:rsid w:val="00621D5C"/>
    <w:rsid w:val="00621E63"/>
    <w:rsid w:val="00624192"/>
    <w:rsid w:val="00625255"/>
    <w:rsid w:val="00631A4B"/>
    <w:rsid w:val="00634B6D"/>
    <w:rsid w:val="00635A72"/>
    <w:rsid w:val="00640E74"/>
    <w:rsid w:val="0064123A"/>
    <w:rsid w:val="0064409B"/>
    <w:rsid w:val="0064444F"/>
    <w:rsid w:val="0064595D"/>
    <w:rsid w:val="00646012"/>
    <w:rsid w:val="006504F0"/>
    <w:rsid w:val="00651D00"/>
    <w:rsid w:val="00652219"/>
    <w:rsid w:val="00653E32"/>
    <w:rsid w:val="00654133"/>
    <w:rsid w:val="006577CE"/>
    <w:rsid w:val="006621D9"/>
    <w:rsid w:val="00662302"/>
    <w:rsid w:val="006641C3"/>
    <w:rsid w:val="00664EF1"/>
    <w:rsid w:val="00665A89"/>
    <w:rsid w:val="00665C6F"/>
    <w:rsid w:val="00665F2E"/>
    <w:rsid w:val="006700BF"/>
    <w:rsid w:val="0067148A"/>
    <w:rsid w:val="00671A46"/>
    <w:rsid w:val="006722C4"/>
    <w:rsid w:val="0067243B"/>
    <w:rsid w:val="0067381D"/>
    <w:rsid w:val="00674A23"/>
    <w:rsid w:val="006768AD"/>
    <w:rsid w:val="0067694A"/>
    <w:rsid w:val="00676D72"/>
    <w:rsid w:val="00676D80"/>
    <w:rsid w:val="00680F6A"/>
    <w:rsid w:val="0068109D"/>
    <w:rsid w:val="0068117C"/>
    <w:rsid w:val="00681750"/>
    <w:rsid w:val="00681EB6"/>
    <w:rsid w:val="00684CF3"/>
    <w:rsid w:val="00685A46"/>
    <w:rsid w:val="0068621A"/>
    <w:rsid w:val="00686CE7"/>
    <w:rsid w:val="00695541"/>
    <w:rsid w:val="0069581B"/>
    <w:rsid w:val="006A0A3E"/>
    <w:rsid w:val="006A0C5D"/>
    <w:rsid w:val="006A1AD8"/>
    <w:rsid w:val="006A28D2"/>
    <w:rsid w:val="006A2B08"/>
    <w:rsid w:val="006A315C"/>
    <w:rsid w:val="006A779A"/>
    <w:rsid w:val="006B08E6"/>
    <w:rsid w:val="006B1272"/>
    <w:rsid w:val="006B3223"/>
    <w:rsid w:val="006B3D7A"/>
    <w:rsid w:val="006B5EB4"/>
    <w:rsid w:val="006B6E71"/>
    <w:rsid w:val="006B7E82"/>
    <w:rsid w:val="006C12D6"/>
    <w:rsid w:val="006C1B46"/>
    <w:rsid w:val="006C1B9D"/>
    <w:rsid w:val="006C2383"/>
    <w:rsid w:val="006C291D"/>
    <w:rsid w:val="006C4334"/>
    <w:rsid w:val="006C43B3"/>
    <w:rsid w:val="006C571C"/>
    <w:rsid w:val="006C76C3"/>
    <w:rsid w:val="006D2424"/>
    <w:rsid w:val="006D29D1"/>
    <w:rsid w:val="006D2A60"/>
    <w:rsid w:val="006D35C6"/>
    <w:rsid w:val="006D3D9C"/>
    <w:rsid w:val="006D3DF4"/>
    <w:rsid w:val="006D53CB"/>
    <w:rsid w:val="006D6D9D"/>
    <w:rsid w:val="006E0309"/>
    <w:rsid w:val="006E21FB"/>
    <w:rsid w:val="006E3D9C"/>
    <w:rsid w:val="006E3FD7"/>
    <w:rsid w:val="006E5984"/>
    <w:rsid w:val="006E7887"/>
    <w:rsid w:val="006E7A59"/>
    <w:rsid w:val="006F3237"/>
    <w:rsid w:val="006F583B"/>
    <w:rsid w:val="006F6109"/>
    <w:rsid w:val="006F6F5F"/>
    <w:rsid w:val="006F7F19"/>
    <w:rsid w:val="0070020C"/>
    <w:rsid w:val="00700FAA"/>
    <w:rsid w:val="007038A4"/>
    <w:rsid w:val="00705122"/>
    <w:rsid w:val="0070790E"/>
    <w:rsid w:val="00710012"/>
    <w:rsid w:val="00710BE1"/>
    <w:rsid w:val="00711793"/>
    <w:rsid w:val="00712005"/>
    <w:rsid w:val="007122EC"/>
    <w:rsid w:val="007138BD"/>
    <w:rsid w:val="0071433F"/>
    <w:rsid w:val="00714C43"/>
    <w:rsid w:val="00714C78"/>
    <w:rsid w:val="00716867"/>
    <w:rsid w:val="007177BB"/>
    <w:rsid w:val="00724F0F"/>
    <w:rsid w:val="007279C5"/>
    <w:rsid w:val="00733406"/>
    <w:rsid w:val="00734DB4"/>
    <w:rsid w:val="00735B29"/>
    <w:rsid w:val="0073657C"/>
    <w:rsid w:val="00736860"/>
    <w:rsid w:val="007400E7"/>
    <w:rsid w:val="00740455"/>
    <w:rsid w:val="00743353"/>
    <w:rsid w:val="0074606A"/>
    <w:rsid w:val="00751CB0"/>
    <w:rsid w:val="00751D60"/>
    <w:rsid w:val="007531C4"/>
    <w:rsid w:val="00754299"/>
    <w:rsid w:val="00754E27"/>
    <w:rsid w:val="0075661A"/>
    <w:rsid w:val="00760E00"/>
    <w:rsid w:val="007611C0"/>
    <w:rsid w:val="007623A6"/>
    <w:rsid w:val="00763539"/>
    <w:rsid w:val="00765118"/>
    <w:rsid w:val="00767EF1"/>
    <w:rsid w:val="00773C78"/>
    <w:rsid w:val="00777963"/>
    <w:rsid w:val="007815A8"/>
    <w:rsid w:val="00782182"/>
    <w:rsid w:val="007838E4"/>
    <w:rsid w:val="00784032"/>
    <w:rsid w:val="0078551E"/>
    <w:rsid w:val="00787713"/>
    <w:rsid w:val="0079021A"/>
    <w:rsid w:val="00790223"/>
    <w:rsid w:val="007959E7"/>
    <w:rsid w:val="00797E4C"/>
    <w:rsid w:val="007A05C3"/>
    <w:rsid w:val="007A1001"/>
    <w:rsid w:val="007A315D"/>
    <w:rsid w:val="007A3827"/>
    <w:rsid w:val="007A6E48"/>
    <w:rsid w:val="007B0557"/>
    <w:rsid w:val="007B0785"/>
    <w:rsid w:val="007B0966"/>
    <w:rsid w:val="007B2095"/>
    <w:rsid w:val="007B2D6F"/>
    <w:rsid w:val="007B62E5"/>
    <w:rsid w:val="007B778F"/>
    <w:rsid w:val="007C0D7D"/>
    <w:rsid w:val="007C1646"/>
    <w:rsid w:val="007C2C5A"/>
    <w:rsid w:val="007C7C9E"/>
    <w:rsid w:val="007D03FF"/>
    <w:rsid w:val="007D201A"/>
    <w:rsid w:val="007D20F3"/>
    <w:rsid w:val="007D4B04"/>
    <w:rsid w:val="007D5712"/>
    <w:rsid w:val="007E1BE3"/>
    <w:rsid w:val="007E7AFA"/>
    <w:rsid w:val="007E7D2C"/>
    <w:rsid w:val="007F10B4"/>
    <w:rsid w:val="007F2499"/>
    <w:rsid w:val="007F3D53"/>
    <w:rsid w:val="007F46A1"/>
    <w:rsid w:val="007F5828"/>
    <w:rsid w:val="007F6684"/>
    <w:rsid w:val="007F7B88"/>
    <w:rsid w:val="00800194"/>
    <w:rsid w:val="00800502"/>
    <w:rsid w:val="00802139"/>
    <w:rsid w:val="00804490"/>
    <w:rsid w:val="0080466F"/>
    <w:rsid w:val="0080469A"/>
    <w:rsid w:val="00804DBD"/>
    <w:rsid w:val="00806117"/>
    <w:rsid w:val="00807893"/>
    <w:rsid w:val="00807CC8"/>
    <w:rsid w:val="00807CD4"/>
    <w:rsid w:val="008105B0"/>
    <w:rsid w:val="00811020"/>
    <w:rsid w:val="0081329F"/>
    <w:rsid w:val="008133CE"/>
    <w:rsid w:val="00820102"/>
    <w:rsid w:val="00821D2D"/>
    <w:rsid w:val="00821E3D"/>
    <w:rsid w:val="00822D29"/>
    <w:rsid w:val="00824336"/>
    <w:rsid w:val="00824713"/>
    <w:rsid w:val="008247EF"/>
    <w:rsid w:val="00824985"/>
    <w:rsid w:val="0082601C"/>
    <w:rsid w:val="00827E35"/>
    <w:rsid w:val="0083078B"/>
    <w:rsid w:val="00831C86"/>
    <w:rsid w:val="00831DA3"/>
    <w:rsid w:val="008321EB"/>
    <w:rsid w:val="008328CA"/>
    <w:rsid w:val="00832B6D"/>
    <w:rsid w:val="008344E1"/>
    <w:rsid w:val="008349ED"/>
    <w:rsid w:val="008368C8"/>
    <w:rsid w:val="00840454"/>
    <w:rsid w:val="008409C0"/>
    <w:rsid w:val="00841178"/>
    <w:rsid w:val="008429EA"/>
    <w:rsid w:val="008455C1"/>
    <w:rsid w:val="0084573D"/>
    <w:rsid w:val="00854906"/>
    <w:rsid w:val="00854A6D"/>
    <w:rsid w:val="008558A2"/>
    <w:rsid w:val="00855F0F"/>
    <w:rsid w:val="00857FB7"/>
    <w:rsid w:val="008606CE"/>
    <w:rsid w:val="00863781"/>
    <w:rsid w:val="00863EC9"/>
    <w:rsid w:val="00865831"/>
    <w:rsid w:val="00865AD9"/>
    <w:rsid w:val="00866451"/>
    <w:rsid w:val="00867993"/>
    <w:rsid w:val="00874E68"/>
    <w:rsid w:val="0088003D"/>
    <w:rsid w:val="008831AA"/>
    <w:rsid w:val="00884961"/>
    <w:rsid w:val="00885AE8"/>
    <w:rsid w:val="00885C2E"/>
    <w:rsid w:val="00886882"/>
    <w:rsid w:val="00886F31"/>
    <w:rsid w:val="008874D4"/>
    <w:rsid w:val="008903A0"/>
    <w:rsid w:val="00892A2E"/>
    <w:rsid w:val="008946A5"/>
    <w:rsid w:val="00895C42"/>
    <w:rsid w:val="00896028"/>
    <w:rsid w:val="00896125"/>
    <w:rsid w:val="0089792A"/>
    <w:rsid w:val="008A048D"/>
    <w:rsid w:val="008A1C5A"/>
    <w:rsid w:val="008A425B"/>
    <w:rsid w:val="008A6650"/>
    <w:rsid w:val="008A6B0F"/>
    <w:rsid w:val="008B24E0"/>
    <w:rsid w:val="008B64FA"/>
    <w:rsid w:val="008C39B4"/>
    <w:rsid w:val="008C7F93"/>
    <w:rsid w:val="008E0342"/>
    <w:rsid w:val="008E1D9A"/>
    <w:rsid w:val="008E586C"/>
    <w:rsid w:val="008E6F1E"/>
    <w:rsid w:val="008E70F8"/>
    <w:rsid w:val="008F0D45"/>
    <w:rsid w:val="008F2D72"/>
    <w:rsid w:val="008F32D0"/>
    <w:rsid w:val="008F3464"/>
    <w:rsid w:val="008F3E26"/>
    <w:rsid w:val="008F5C3F"/>
    <w:rsid w:val="008F7674"/>
    <w:rsid w:val="00902C99"/>
    <w:rsid w:val="0090366B"/>
    <w:rsid w:val="00903F09"/>
    <w:rsid w:val="00904CD7"/>
    <w:rsid w:val="009060C4"/>
    <w:rsid w:val="00910609"/>
    <w:rsid w:val="009106A1"/>
    <w:rsid w:val="00910BF5"/>
    <w:rsid w:val="00913C66"/>
    <w:rsid w:val="00915199"/>
    <w:rsid w:val="00916E06"/>
    <w:rsid w:val="00917B54"/>
    <w:rsid w:val="00921D07"/>
    <w:rsid w:val="0092290D"/>
    <w:rsid w:val="00925B28"/>
    <w:rsid w:val="00925E03"/>
    <w:rsid w:val="00926136"/>
    <w:rsid w:val="00930544"/>
    <w:rsid w:val="0093183D"/>
    <w:rsid w:val="00932869"/>
    <w:rsid w:val="00932922"/>
    <w:rsid w:val="0093299C"/>
    <w:rsid w:val="009336EA"/>
    <w:rsid w:val="00934199"/>
    <w:rsid w:val="0093461A"/>
    <w:rsid w:val="0093528A"/>
    <w:rsid w:val="00935F9F"/>
    <w:rsid w:val="0093695E"/>
    <w:rsid w:val="009378E5"/>
    <w:rsid w:val="00940FA9"/>
    <w:rsid w:val="00941CF8"/>
    <w:rsid w:val="00944A0A"/>
    <w:rsid w:val="009452E6"/>
    <w:rsid w:val="009469F5"/>
    <w:rsid w:val="00947BE0"/>
    <w:rsid w:val="00951EF0"/>
    <w:rsid w:val="00952390"/>
    <w:rsid w:val="009556F7"/>
    <w:rsid w:val="009557C4"/>
    <w:rsid w:val="00956158"/>
    <w:rsid w:val="0095639B"/>
    <w:rsid w:val="00957730"/>
    <w:rsid w:val="00961758"/>
    <w:rsid w:val="00961A60"/>
    <w:rsid w:val="00963998"/>
    <w:rsid w:val="00963C3D"/>
    <w:rsid w:val="00964857"/>
    <w:rsid w:val="00964BED"/>
    <w:rsid w:val="0096544F"/>
    <w:rsid w:val="0097272C"/>
    <w:rsid w:val="00972A87"/>
    <w:rsid w:val="00972C99"/>
    <w:rsid w:val="00973110"/>
    <w:rsid w:val="00974ECB"/>
    <w:rsid w:val="00976DB1"/>
    <w:rsid w:val="009821A3"/>
    <w:rsid w:val="00982481"/>
    <w:rsid w:val="00987ECD"/>
    <w:rsid w:val="00990829"/>
    <w:rsid w:val="00991285"/>
    <w:rsid w:val="0099133F"/>
    <w:rsid w:val="0099279B"/>
    <w:rsid w:val="00992FA0"/>
    <w:rsid w:val="009950AD"/>
    <w:rsid w:val="00995E2C"/>
    <w:rsid w:val="009962CA"/>
    <w:rsid w:val="00996465"/>
    <w:rsid w:val="009A0259"/>
    <w:rsid w:val="009A1AFA"/>
    <w:rsid w:val="009A2EB8"/>
    <w:rsid w:val="009A4597"/>
    <w:rsid w:val="009A4C59"/>
    <w:rsid w:val="009B0D6E"/>
    <w:rsid w:val="009B35E7"/>
    <w:rsid w:val="009B4336"/>
    <w:rsid w:val="009B4F8F"/>
    <w:rsid w:val="009C10FA"/>
    <w:rsid w:val="009C41D3"/>
    <w:rsid w:val="009C4492"/>
    <w:rsid w:val="009C51C8"/>
    <w:rsid w:val="009C7578"/>
    <w:rsid w:val="009D00A4"/>
    <w:rsid w:val="009D5218"/>
    <w:rsid w:val="009D6CF8"/>
    <w:rsid w:val="009E034F"/>
    <w:rsid w:val="009E23AA"/>
    <w:rsid w:val="009E27A7"/>
    <w:rsid w:val="009E2F1F"/>
    <w:rsid w:val="009E5481"/>
    <w:rsid w:val="009E54EB"/>
    <w:rsid w:val="009E6735"/>
    <w:rsid w:val="009E6C20"/>
    <w:rsid w:val="009E7EBC"/>
    <w:rsid w:val="009F1548"/>
    <w:rsid w:val="009F18BA"/>
    <w:rsid w:val="009F342C"/>
    <w:rsid w:val="009F4AB7"/>
    <w:rsid w:val="009F6999"/>
    <w:rsid w:val="009F7274"/>
    <w:rsid w:val="009F7780"/>
    <w:rsid w:val="00A03D48"/>
    <w:rsid w:val="00A04294"/>
    <w:rsid w:val="00A0505C"/>
    <w:rsid w:val="00A050A0"/>
    <w:rsid w:val="00A054E3"/>
    <w:rsid w:val="00A10F76"/>
    <w:rsid w:val="00A14878"/>
    <w:rsid w:val="00A14DDA"/>
    <w:rsid w:val="00A1504F"/>
    <w:rsid w:val="00A1555A"/>
    <w:rsid w:val="00A159A1"/>
    <w:rsid w:val="00A16A3A"/>
    <w:rsid w:val="00A16A41"/>
    <w:rsid w:val="00A17B12"/>
    <w:rsid w:val="00A2258E"/>
    <w:rsid w:val="00A2282E"/>
    <w:rsid w:val="00A22D10"/>
    <w:rsid w:val="00A23A1C"/>
    <w:rsid w:val="00A2587E"/>
    <w:rsid w:val="00A27453"/>
    <w:rsid w:val="00A274F7"/>
    <w:rsid w:val="00A27EF1"/>
    <w:rsid w:val="00A306CC"/>
    <w:rsid w:val="00A31A6C"/>
    <w:rsid w:val="00A325B8"/>
    <w:rsid w:val="00A34902"/>
    <w:rsid w:val="00A34979"/>
    <w:rsid w:val="00A34EA0"/>
    <w:rsid w:val="00A3686B"/>
    <w:rsid w:val="00A368E8"/>
    <w:rsid w:val="00A41326"/>
    <w:rsid w:val="00A447B7"/>
    <w:rsid w:val="00A456CB"/>
    <w:rsid w:val="00A4683D"/>
    <w:rsid w:val="00A47393"/>
    <w:rsid w:val="00A52B20"/>
    <w:rsid w:val="00A53984"/>
    <w:rsid w:val="00A56BC1"/>
    <w:rsid w:val="00A60D4D"/>
    <w:rsid w:val="00A61347"/>
    <w:rsid w:val="00A63C74"/>
    <w:rsid w:val="00A65837"/>
    <w:rsid w:val="00A7107C"/>
    <w:rsid w:val="00A7372B"/>
    <w:rsid w:val="00A74255"/>
    <w:rsid w:val="00A74C58"/>
    <w:rsid w:val="00A767BA"/>
    <w:rsid w:val="00A76D40"/>
    <w:rsid w:val="00A77679"/>
    <w:rsid w:val="00A77BB7"/>
    <w:rsid w:val="00A80423"/>
    <w:rsid w:val="00A810EF"/>
    <w:rsid w:val="00A8150B"/>
    <w:rsid w:val="00A85882"/>
    <w:rsid w:val="00A876B1"/>
    <w:rsid w:val="00A91C0D"/>
    <w:rsid w:val="00A922A9"/>
    <w:rsid w:val="00A92EC6"/>
    <w:rsid w:val="00A9539C"/>
    <w:rsid w:val="00A97CA3"/>
    <w:rsid w:val="00A97F02"/>
    <w:rsid w:val="00AA1145"/>
    <w:rsid w:val="00AA1C32"/>
    <w:rsid w:val="00AA3863"/>
    <w:rsid w:val="00AA4926"/>
    <w:rsid w:val="00AA58F2"/>
    <w:rsid w:val="00AA74E0"/>
    <w:rsid w:val="00AB05D5"/>
    <w:rsid w:val="00AB2CE0"/>
    <w:rsid w:val="00AB34F8"/>
    <w:rsid w:val="00AB46F0"/>
    <w:rsid w:val="00AB5270"/>
    <w:rsid w:val="00AB56CB"/>
    <w:rsid w:val="00AB6877"/>
    <w:rsid w:val="00AC01C1"/>
    <w:rsid w:val="00AC0842"/>
    <w:rsid w:val="00AC1DBE"/>
    <w:rsid w:val="00AC2AB9"/>
    <w:rsid w:val="00AC2B59"/>
    <w:rsid w:val="00AC4C23"/>
    <w:rsid w:val="00AC4DD0"/>
    <w:rsid w:val="00AC677B"/>
    <w:rsid w:val="00AC7403"/>
    <w:rsid w:val="00AD0F3E"/>
    <w:rsid w:val="00AD1E74"/>
    <w:rsid w:val="00AD234E"/>
    <w:rsid w:val="00AD42CD"/>
    <w:rsid w:val="00AD551A"/>
    <w:rsid w:val="00AD6061"/>
    <w:rsid w:val="00AD7F26"/>
    <w:rsid w:val="00AE029F"/>
    <w:rsid w:val="00AE3536"/>
    <w:rsid w:val="00AE3ED4"/>
    <w:rsid w:val="00AE444F"/>
    <w:rsid w:val="00AE479E"/>
    <w:rsid w:val="00AE57A8"/>
    <w:rsid w:val="00AE7077"/>
    <w:rsid w:val="00AF0585"/>
    <w:rsid w:val="00AF0BF5"/>
    <w:rsid w:val="00AF205E"/>
    <w:rsid w:val="00AF21EE"/>
    <w:rsid w:val="00AF3329"/>
    <w:rsid w:val="00AF348F"/>
    <w:rsid w:val="00AF3F37"/>
    <w:rsid w:val="00AF595E"/>
    <w:rsid w:val="00AF6BA0"/>
    <w:rsid w:val="00AF749E"/>
    <w:rsid w:val="00B00336"/>
    <w:rsid w:val="00B02950"/>
    <w:rsid w:val="00B02A45"/>
    <w:rsid w:val="00B0350E"/>
    <w:rsid w:val="00B03D56"/>
    <w:rsid w:val="00B04D5A"/>
    <w:rsid w:val="00B0730F"/>
    <w:rsid w:val="00B10177"/>
    <w:rsid w:val="00B10A01"/>
    <w:rsid w:val="00B10B5C"/>
    <w:rsid w:val="00B1160B"/>
    <w:rsid w:val="00B1290A"/>
    <w:rsid w:val="00B12DA4"/>
    <w:rsid w:val="00B13BC2"/>
    <w:rsid w:val="00B1427C"/>
    <w:rsid w:val="00B14A71"/>
    <w:rsid w:val="00B1501A"/>
    <w:rsid w:val="00B2029C"/>
    <w:rsid w:val="00B219CB"/>
    <w:rsid w:val="00B22AC7"/>
    <w:rsid w:val="00B2401F"/>
    <w:rsid w:val="00B26C01"/>
    <w:rsid w:val="00B33372"/>
    <w:rsid w:val="00B34309"/>
    <w:rsid w:val="00B3430C"/>
    <w:rsid w:val="00B375EA"/>
    <w:rsid w:val="00B40046"/>
    <w:rsid w:val="00B41C8B"/>
    <w:rsid w:val="00B42581"/>
    <w:rsid w:val="00B42EEA"/>
    <w:rsid w:val="00B43149"/>
    <w:rsid w:val="00B44BA9"/>
    <w:rsid w:val="00B45B64"/>
    <w:rsid w:val="00B5022E"/>
    <w:rsid w:val="00B52A5D"/>
    <w:rsid w:val="00B5444B"/>
    <w:rsid w:val="00B5459A"/>
    <w:rsid w:val="00B54D1B"/>
    <w:rsid w:val="00B56E0D"/>
    <w:rsid w:val="00B60FF3"/>
    <w:rsid w:val="00B6338C"/>
    <w:rsid w:val="00B6435A"/>
    <w:rsid w:val="00B65173"/>
    <w:rsid w:val="00B6786A"/>
    <w:rsid w:val="00B7032B"/>
    <w:rsid w:val="00B70972"/>
    <w:rsid w:val="00B710B2"/>
    <w:rsid w:val="00B721A7"/>
    <w:rsid w:val="00B73FAA"/>
    <w:rsid w:val="00B813CB"/>
    <w:rsid w:val="00B82455"/>
    <w:rsid w:val="00B82582"/>
    <w:rsid w:val="00B83C51"/>
    <w:rsid w:val="00B84843"/>
    <w:rsid w:val="00B852B5"/>
    <w:rsid w:val="00B868D4"/>
    <w:rsid w:val="00B91531"/>
    <w:rsid w:val="00B9190B"/>
    <w:rsid w:val="00B92F62"/>
    <w:rsid w:val="00B93290"/>
    <w:rsid w:val="00B935D8"/>
    <w:rsid w:val="00B94999"/>
    <w:rsid w:val="00B96978"/>
    <w:rsid w:val="00BA0698"/>
    <w:rsid w:val="00BA0D3A"/>
    <w:rsid w:val="00BA1FF3"/>
    <w:rsid w:val="00BA5224"/>
    <w:rsid w:val="00BA57C4"/>
    <w:rsid w:val="00BA66BA"/>
    <w:rsid w:val="00BA7C96"/>
    <w:rsid w:val="00BB022C"/>
    <w:rsid w:val="00BB1451"/>
    <w:rsid w:val="00BB39AE"/>
    <w:rsid w:val="00BB57BB"/>
    <w:rsid w:val="00BB58CE"/>
    <w:rsid w:val="00BB6A29"/>
    <w:rsid w:val="00BC13B7"/>
    <w:rsid w:val="00BC65ED"/>
    <w:rsid w:val="00BC7CDF"/>
    <w:rsid w:val="00BD109C"/>
    <w:rsid w:val="00BD26D8"/>
    <w:rsid w:val="00BD431A"/>
    <w:rsid w:val="00BD77B6"/>
    <w:rsid w:val="00BE14F3"/>
    <w:rsid w:val="00BE778A"/>
    <w:rsid w:val="00BF0E0C"/>
    <w:rsid w:val="00BF5316"/>
    <w:rsid w:val="00BF54EB"/>
    <w:rsid w:val="00C00BE6"/>
    <w:rsid w:val="00C0106C"/>
    <w:rsid w:val="00C013AE"/>
    <w:rsid w:val="00C021E7"/>
    <w:rsid w:val="00C03369"/>
    <w:rsid w:val="00C038EC"/>
    <w:rsid w:val="00C04920"/>
    <w:rsid w:val="00C06E52"/>
    <w:rsid w:val="00C07454"/>
    <w:rsid w:val="00C076B1"/>
    <w:rsid w:val="00C108CC"/>
    <w:rsid w:val="00C10E75"/>
    <w:rsid w:val="00C11597"/>
    <w:rsid w:val="00C12FC5"/>
    <w:rsid w:val="00C13DF5"/>
    <w:rsid w:val="00C16904"/>
    <w:rsid w:val="00C20FB9"/>
    <w:rsid w:val="00C21421"/>
    <w:rsid w:val="00C219DA"/>
    <w:rsid w:val="00C26ADC"/>
    <w:rsid w:val="00C30E03"/>
    <w:rsid w:val="00C325FF"/>
    <w:rsid w:val="00C34164"/>
    <w:rsid w:val="00C35C82"/>
    <w:rsid w:val="00C36C8B"/>
    <w:rsid w:val="00C400C6"/>
    <w:rsid w:val="00C4043E"/>
    <w:rsid w:val="00C4097E"/>
    <w:rsid w:val="00C41C71"/>
    <w:rsid w:val="00C42B0F"/>
    <w:rsid w:val="00C45273"/>
    <w:rsid w:val="00C46C2C"/>
    <w:rsid w:val="00C501BE"/>
    <w:rsid w:val="00C50D4A"/>
    <w:rsid w:val="00C5120F"/>
    <w:rsid w:val="00C51A6D"/>
    <w:rsid w:val="00C520D6"/>
    <w:rsid w:val="00C52B94"/>
    <w:rsid w:val="00C530FB"/>
    <w:rsid w:val="00C548CA"/>
    <w:rsid w:val="00C54950"/>
    <w:rsid w:val="00C56675"/>
    <w:rsid w:val="00C573A0"/>
    <w:rsid w:val="00C5768D"/>
    <w:rsid w:val="00C578A0"/>
    <w:rsid w:val="00C60630"/>
    <w:rsid w:val="00C64A86"/>
    <w:rsid w:val="00C64F21"/>
    <w:rsid w:val="00C654E1"/>
    <w:rsid w:val="00C66FC7"/>
    <w:rsid w:val="00C77026"/>
    <w:rsid w:val="00C80733"/>
    <w:rsid w:val="00C81C68"/>
    <w:rsid w:val="00C84D2A"/>
    <w:rsid w:val="00C8647C"/>
    <w:rsid w:val="00C866EA"/>
    <w:rsid w:val="00C87554"/>
    <w:rsid w:val="00C90E10"/>
    <w:rsid w:val="00C91A2B"/>
    <w:rsid w:val="00C927FB"/>
    <w:rsid w:val="00C93D03"/>
    <w:rsid w:val="00C94364"/>
    <w:rsid w:val="00C945D9"/>
    <w:rsid w:val="00C95F33"/>
    <w:rsid w:val="00CA06BB"/>
    <w:rsid w:val="00CA3739"/>
    <w:rsid w:val="00CA6C4D"/>
    <w:rsid w:val="00CA7E74"/>
    <w:rsid w:val="00CB2153"/>
    <w:rsid w:val="00CB4424"/>
    <w:rsid w:val="00CB50B9"/>
    <w:rsid w:val="00CB5796"/>
    <w:rsid w:val="00CB5D84"/>
    <w:rsid w:val="00CC0C82"/>
    <w:rsid w:val="00CC32D0"/>
    <w:rsid w:val="00CC3A59"/>
    <w:rsid w:val="00CC4E03"/>
    <w:rsid w:val="00CC56C8"/>
    <w:rsid w:val="00CC67AF"/>
    <w:rsid w:val="00CD0841"/>
    <w:rsid w:val="00CD0B3A"/>
    <w:rsid w:val="00CD3626"/>
    <w:rsid w:val="00CD3AEE"/>
    <w:rsid w:val="00CD5364"/>
    <w:rsid w:val="00CD567B"/>
    <w:rsid w:val="00CD640B"/>
    <w:rsid w:val="00CD6854"/>
    <w:rsid w:val="00CD7713"/>
    <w:rsid w:val="00CE0D2C"/>
    <w:rsid w:val="00CE119B"/>
    <w:rsid w:val="00CE138E"/>
    <w:rsid w:val="00CE1EC9"/>
    <w:rsid w:val="00CE2D01"/>
    <w:rsid w:val="00CE5ABF"/>
    <w:rsid w:val="00CE749C"/>
    <w:rsid w:val="00CE7BCB"/>
    <w:rsid w:val="00CF2129"/>
    <w:rsid w:val="00CF27D8"/>
    <w:rsid w:val="00CF4593"/>
    <w:rsid w:val="00CF5BC9"/>
    <w:rsid w:val="00CF5C05"/>
    <w:rsid w:val="00CF6462"/>
    <w:rsid w:val="00CF721A"/>
    <w:rsid w:val="00D00667"/>
    <w:rsid w:val="00D015FA"/>
    <w:rsid w:val="00D0178D"/>
    <w:rsid w:val="00D0288D"/>
    <w:rsid w:val="00D055C1"/>
    <w:rsid w:val="00D060FC"/>
    <w:rsid w:val="00D117EE"/>
    <w:rsid w:val="00D11D35"/>
    <w:rsid w:val="00D147FF"/>
    <w:rsid w:val="00D1680E"/>
    <w:rsid w:val="00D20F0D"/>
    <w:rsid w:val="00D23DFF"/>
    <w:rsid w:val="00D24521"/>
    <w:rsid w:val="00D266E1"/>
    <w:rsid w:val="00D268CA"/>
    <w:rsid w:val="00D30323"/>
    <w:rsid w:val="00D306A6"/>
    <w:rsid w:val="00D30A3A"/>
    <w:rsid w:val="00D31249"/>
    <w:rsid w:val="00D31B75"/>
    <w:rsid w:val="00D33AC5"/>
    <w:rsid w:val="00D347F7"/>
    <w:rsid w:val="00D35292"/>
    <w:rsid w:val="00D35568"/>
    <w:rsid w:val="00D35D98"/>
    <w:rsid w:val="00D36005"/>
    <w:rsid w:val="00D3716D"/>
    <w:rsid w:val="00D4220E"/>
    <w:rsid w:val="00D42B0C"/>
    <w:rsid w:val="00D4321E"/>
    <w:rsid w:val="00D439E1"/>
    <w:rsid w:val="00D43C6E"/>
    <w:rsid w:val="00D46117"/>
    <w:rsid w:val="00D4631C"/>
    <w:rsid w:val="00D479D5"/>
    <w:rsid w:val="00D51831"/>
    <w:rsid w:val="00D538B8"/>
    <w:rsid w:val="00D55FD2"/>
    <w:rsid w:val="00D5689D"/>
    <w:rsid w:val="00D606CD"/>
    <w:rsid w:val="00D615A3"/>
    <w:rsid w:val="00D61863"/>
    <w:rsid w:val="00D61BB8"/>
    <w:rsid w:val="00D63973"/>
    <w:rsid w:val="00D63C8B"/>
    <w:rsid w:val="00D65173"/>
    <w:rsid w:val="00D66053"/>
    <w:rsid w:val="00D6605A"/>
    <w:rsid w:val="00D70C65"/>
    <w:rsid w:val="00D70F7F"/>
    <w:rsid w:val="00D71DAB"/>
    <w:rsid w:val="00D7385E"/>
    <w:rsid w:val="00D74CEC"/>
    <w:rsid w:val="00D8325A"/>
    <w:rsid w:val="00D83870"/>
    <w:rsid w:val="00D84062"/>
    <w:rsid w:val="00D84645"/>
    <w:rsid w:val="00D84AA2"/>
    <w:rsid w:val="00D87F88"/>
    <w:rsid w:val="00D90703"/>
    <w:rsid w:val="00D91A6D"/>
    <w:rsid w:val="00D92788"/>
    <w:rsid w:val="00D93D95"/>
    <w:rsid w:val="00DB26B9"/>
    <w:rsid w:val="00DB2A32"/>
    <w:rsid w:val="00DB3A0E"/>
    <w:rsid w:val="00DB63C1"/>
    <w:rsid w:val="00DB69A1"/>
    <w:rsid w:val="00DB739F"/>
    <w:rsid w:val="00DC254A"/>
    <w:rsid w:val="00DC366E"/>
    <w:rsid w:val="00DC3C20"/>
    <w:rsid w:val="00DC5B5A"/>
    <w:rsid w:val="00DC6302"/>
    <w:rsid w:val="00DD3C6C"/>
    <w:rsid w:val="00DD4DC8"/>
    <w:rsid w:val="00DD5729"/>
    <w:rsid w:val="00DD5AA0"/>
    <w:rsid w:val="00DE1485"/>
    <w:rsid w:val="00DE1768"/>
    <w:rsid w:val="00DE1E34"/>
    <w:rsid w:val="00DE228D"/>
    <w:rsid w:val="00DE2C15"/>
    <w:rsid w:val="00DE5228"/>
    <w:rsid w:val="00DE5780"/>
    <w:rsid w:val="00DE6F1F"/>
    <w:rsid w:val="00DF00F4"/>
    <w:rsid w:val="00DF524F"/>
    <w:rsid w:val="00DF6359"/>
    <w:rsid w:val="00E0252E"/>
    <w:rsid w:val="00E030E7"/>
    <w:rsid w:val="00E0363F"/>
    <w:rsid w:val="00E03D99"/>
    <w:rsid w:val="00E06525"/>
    <w:rsid w:val="00E066E1"/>
    <w:rsid w:val="00E068C4"/>
    <w:rsid w:val="00E079E6"/>
    <w:rsid w:val="00E108F1"/>
    <w:rsid w:val="00E11F01"/>
    <w:rsid w:val="00E135B7"/>
    <w:rsid w:val="00E14BCA"/>
    <w:rsid w:val="00E17C7B"/>
    <w:rsid w:val="00E213C0"/>
    <w:rsid w:val="00E218B2"/>
    <w:rsid w:val="00E21C61"/>
    <w:rsid w:val="00E222BB"/>
    <w:rsid w:val="00E2301D"/>
    <w:rsid w:val="00E238DC"/>
    <w:rsid w:val="00E248FC"/>
    <w:rsid w:val="00E24D37"/>
    <w:rsid w:val="00E25DB1"/>
    <w:rsid w:val="00E27ABD"/>
    <w:rsid w:val="00E30698"/>
    <w:rsid w:val="00E3082E"/>
    <w:rsid w:val="00E30BC7"/>
    <w:rsid w:val="00E317DC"/>
    <w:rsid w:val="00E32807"/>
    <w:rsid w:val="00E32D88"/>
    <w:rsid w:val="00E35AF8"/>
    <w:rsid w:val="00E36606"/>
    <w:rsid w:val="00E372B2"/>
    <w:rsid w:val="00E40F0D"/>
    <w:rsid w:val="00E418C0"/>
    <w:rsid w:val="00E425A9"/>
    <w:rsid w:val="00E43E4E"/>
    <w:rsid w:val="00E47178"/>
    <w:rsid w:val="00E47E85"/>
    <w:rsid w:val="00E52360"/>
    <w:rsid w:val="00E527F8"/>
    <w:rsid w:val="00E545D8"/>
    <w:rsid w:val="00E556E0"/>
    <w:rsid w:val="00E55F88"/>
    <w:rsid w:val="00E562B8"/>
    <w:rsid w:val="00E5734C"/>
    <w:rsid w:val="00E61CAD"/>
    <w:rsid w:val="00E62EC2"/>
    <w:rsid w:val="00E62F09"/>
    <w:rsid w:val="00E6356A"/>
    <w:rsid w:val="00E63FB5"/>
    <w:rsid w:val="00E647CF"/>
    <w:rsid w:val="00E648A9"/>
    <w:rsid w:val="00E64C17"/>
    <w:rsid w:val="00E6542E"/>
    <w:rsid w:val="00E6621A"/>
    <w:rsid w:val="00E70004"/>
    <w:rsid w:val="00E709FD"/>
    <w:rsid w:val="00E73098"/>
    <w:rsid w:val="00E73715"/>
    <w:rsid w:val="00E737E8"/>
    <w:rsid w:val="00E748DA"/>
    <w:rsid w:val="00E74CD4"/>
    <w:rsid w:val="00E75DDE"/>
    <w:rsid w:val="00E76D62"/>
    <w:rsid w:val="00E837C9"/>
    <w:rsid w:val="00E83ABB"/>
    <w:rsid w:val="00E85475"/>
    <w:rsid w:val="00E858E3"/>
    <w:rsid w:val="00E85F5F"/>
    <w:rsid w:val="00E936B1"/>
    <w:rsid w:val="00E942EF"/>
    <w:rsid w:val="00E95899"/>
    <w:rsid w:val="00E977BE"/>
    <w:rsid w:val="00EA07A9"/>
    <w:rsid w:val="00EA5CB3"/>
    <w:rsid w:val="00EA6F5D"/>
    <w:rsid w:val="00EB052F"/>
    <w:rsid w:val="00EB10AD"/>
    <w:rsid w:val="00EB12BE"/>
    <w:rsid w:val="00EB179F"/>
    <w:rsid w:val="00EB3CBA"/>
    <w:rsid w:val="00EB4991"/>
    <w:rsid w:val="00EB6372"/>
    <w:rsid w:val="00EC1FA5"/>
    <w:rsid w:val="00EC304E"/>
    <w:rsid w:val="00EC3638"/>
    <w:rsid w:val="00EC5052"/>
    <w:rsid w:val="00EC61D3"/>
    <w:rsid w:val="00EC6E27"/>
    <w:rsid w:val="00EC7016"/>
    <w:rsid w:val="00EC7856"/>
    <w:rsid w:val="00ED21EF"/>
    <w:rsid w:val="00ED5006"/>
    <w:rsid w:val="00ED5F7D"/>
    <w:rsid w:val="00ED7A38"/>
    <w:rsid w:val="00ED7B4F"/>
    <w:rsid w:val="00EE1C10"/>
    <w:rsid w:val="00EE2DF9"/>
    <w:rsid w:val="00EE31B1"/>
    <w:rsid w:val="00EE798C"/>
    <w:rsid w:val="00EE7CFD"/>
    <w:rsid w:val="00EF1A01"/>
    <w:rsid w:val="00EF45F9"/>
    <w:rsid w:val="00EF5748"/>
    <w:rsid w:val="00EF5FA1"/>
    <w:rsid w:val="00EF60B4"/>
    <w:rsid w:val="00EF6B55"/>
    <w:rsid w:val="00EF70D8"/>
    <w:rsid w:val="00EF75C6"/>
    <w:rsid w:val="00F000C5"/>
    <w:rsid w:val="00F00C89"/>
    <w:rsid w:val="00F01A9D"/>
    <w:rsid w:val="00F01FF2"/>
    <w:rsid w:val="00F02059"/>
    <w:rsid w:val="00F0215E"/>
    <w:rsid w:val="00F02623"/>
    <w:rsid w:val="00F029E4"/>
    <w:rsid w:val="00F035A1"/>
    <w:rsid w:val="00F05C82"/>
    <w:rsid w:val="00F071BC"/>
    <w:rsid w:val="00F122A7"/>
    <w:rsid w:val="00F122E5"/>
    <w:rsid w:val="00F1495C"/>
    <w:rsid w:val="00F1566A"/>
    <w:rsid w:val="00F15915"/>
    <w:rsid w:val="00F165B3"/>
    <w:rsid w:val="00F17054"/>
    <w:rsid w:val="00F2016B"/>
    <w:rsid w:val="00F20F75"/>
    <w:rsid w:val="00F24165"/>
    <w:rsid w:val="00F246EE"/>
    <w:rsid w:val="00F26830"/>
    <w:rsid w:val="00F26A73"/>
    <w:rsid w:val="00F27B58"/>
    <w:rsid w:val="00F32243"/>
    <w:rsid w:val="00F34A59"/>
    <w:rsid w:val="00F34CA8"/>
    <w:rsid w:val="00F35E42"/>
    <w:rsid w:val="00F453F6"/>
    <w:rsid w:val="00F45A43"/>
    <w:rsid w:val="00F46553"/>
    <w:rsid w:val="00F52885"/>
    <w:rsid w:val="00F531BC"/>
    <w:rsid w:val="00F5571D"/>
    <w:rsid w:val="00F563DD"/>
    <w:rsid w:val="00F573AA"/>
    <w:rsid w:val="00F57AC3"/>
    <w:rsid w:val="00F61942"/>
    <w:rsid w:val="00F61D56"/>
    <w:rsid w:val="00F6233E"/>
    <w:rsid w:val="00F63C1D"/>
    <w:rsid w:val="00F63DC0"/>
    <w:rsid w:val="00F66578"/>
    <w:rsid w:val="00F67D8B"/>
    <w:rsid w:val="00F719F8"/>
    <w:rsid w:val="00F71AC4"/>
    <w:rsid w:val="00F72C55"/>
    <w:rsid w:val="00F73552"/>
    <w:rsid w:val="00F778D7"/>
    <w:rsid w:val="00F80D20"/>
    <w:rsid w:val="00F80FB8"/>
    <w:rsid w:val="00F8161E"/>
    <w:rsid w:val="00F823D3"/>
    <w:rsid w:val="00F82FDD"/>
    <w:rsid w:val="00F84984"/>
    <w:rsid w:val="00F85251"/>
    <w:rsid w:val="00F85D4D"/>
    <w:rsid w:val="00F86378"/>
    <w:rsid w:val="00F90D9D"/>
    <w:rsid w:val="00F91EC7"/>
    <w:rsid w:val="00F9220A"/>
    <w:rsid w:val="00F92775"/>
    <w:rsid w:val="00F92BDE"/>
    <w:rsid w:val="00F931F3"/>
    <w:rsid w:val="00F9746D"/>
    <w:rsid w:val="00FA0705"/>
    <w:rsid w:val="00FA0986"/>
    <w:rsid w:val="00FA10DE"/>
    <w:rsid w:val="00FA1336"/>
    <w:rsid w:val="00FA2C66"/>
    <w:rsid w:val="00FA2E83"/>
    <w:rsid w:val="00FA30B1"/>
    <w:rsid w:val="00FA5C8B"/>
    <w:rsid w:val="00FB0095"/>
    <w:rsid w:val="00FB36F7"/>
    <w:rsid w:val="00FB4805"/>
    <w:rsid w:val="00FC071C"/>
    <w:rsid w:val="00FC3870"/>
    <w:rsid w:val="00FC408A"/>
    <w:rsid w:val="00FC465F"/>
    <w:rsid w:val="00FC58DA"/>
    <w:rsid w:val="00FC6D1D"/>
    <w:rsid w:val="00FC7B8D"/>
    <w:rsid w:val="00FD1FA7"/>
    <w:rsid w:val="00FD2A9A"/>
    <w:rsid w:val="00FD311F"/>
    <w:rsid w:val="00FD3528"/>
    <w:rsid w:val="00FD47AB"/>
    <w:rsid w:val="00FD68E5"/>
    <w:rsid w:val="00FD6CC8"/>
    <w:rsid w:val="00FE12F0"/>
    <w:rsid w:val="00FE1FF4"/>
    <w:rsid w:val="00FE20F2"/>
    <w:rsid w:val="00FE2AE6"/>
    <w:rsid w:val="00FE2DA3"/>
    <w:rsid w:val="00FE5CD5"/>
    <w:rsid w:val="00FF0A1C"/>
    <w:rsid w:val="00FF0C1C"/>
    <w:rsid w:val="00FF2A99"/>
    <w:rsid w:val="00FF376F"/>
    <w:rsid w:val="00FF4546"/>
    <w:rsid w:val="00FF5FF5"/>
    <w:rsid w:val="00FF6BCC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7E48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4C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ind w:left="720"/>
    </w:pPr>
  </w:style>
  <w:style w:type="paragraph" w:styleId="NormalWeb">
    <w:name w:val="Normal (Web)"/>
    <w:basedOn w:val="Normal"/>
    <w:uiPriority w:val="99"/>
    <w:unhideWhenUsed/>
    <w:rsid w:val="005B040B"/>
    <w:pPr>
      <w:autoSpaceDE/>
      <w:autoSpaceDN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B040B"/>
    <w:rPr>
      <w:rFonts w:cs="Times New Roman"/>
      <w:b/>
    </w:rPr>
  </w:style>
  <w:style w:type="paragraph" w:customStyle="1" w:styleId="ox-98e637746d-msonormal">
    <w:name w:val="ox-98e637746d-msonormal"/>
    <w:basedOn w:val="Normal"/>
    <w:rsid w:val="00824713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24713"/>
    <w:rPr>
      <w:i/>
      <w:iCs/>
    </w:rPr>
  </w:style>
  <w:style w:type="character" w:customStyle="1" w:styleId="apple-converted-space">
    <w:name w:val="apple-converted-space"/>
    <w:basedOn w:val="DefaultParagraphFont"/>
    <w:rsid w:val="00DC254A"/>
  </w:style>
  <w:style w:type="paragraph" w:customStyle="1" w:styleId="default-style">
    <w:name w:val="default-style"/>
    <w:basedOn w:val="Normal"/>
    <w:rsid w:val="00DC254A"/>
    <w:pPr>
      <w:autoSpaceDE/>
      <w:autoSpaceDN/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4C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ind w:left="720"/>
    </w:pPr>
  </w:style>
  <w:style w:type="paragraph" w:styleId="NormalWeb">
    <w:name w:val="Normal (Web)"/>
    <w:basedOn w:val="Normal"/>
    <w:uiPriority w:val="99"/>
    <w:unhideWhenUsed/>
    <w:rsid w:val="005B040B"/>
    <w:pPr>
      <w:autoSpaceDE/>
      <w:autoSpaceDN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B040B"/>
    <w:rPr>
      <w:rFonts w:cs="Times New Roman"/>
      <w:b/>
    </w:rPr>
  </w:style>
  <w:style w:type="paragraph" w:customStyle="1" w:styleId="ox-98e637746d-msonormal">
    <w:name w:val="ox-98e637746d-msonormal"/>
    <w:basedOn w:val="Normal"/>
    <w:rsid w:val="00824713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24713"/>
    <w:rPr>
      <w:i/>
      <w:iCs/>
    </w:rPr>
  </w:style>
  <w:style w:type="character" w:customStyle="1" w:styleId="apple-converted-space">
    <w:name w:val="apple-converted-space"/>
    <w:basedOn w:val="DefaultParagraphFont"/>
    <w:rsid w:val="00DC254A"/>
  </w:style>
  <w:style w:type="paragraph" w:customStyle="1" w:styleId="default-style">
    <w:name w:val="default-style"/>
    <w:basedOn w:val="Normal"/>
    <w:rsid w:val="00DC254A"/>
    <w:pPr>
      <w:autoSpaceDE/>
      <w:autoSpaceDN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DEB4-A9BE-4253-BB7E-D4757547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R.S. Thomas</dc:creator>
  <cp:keywords/>
  <dc:description/>
  <cp:lastModifiedBy>Mike</cp:lastModifiedBy>
  <cp:revision>82</cp:revision>
  <cp:lastPrinted>2018-04-26T09:34:00Z</cp:lastPrinted>
  <dcterms:created xsi:type="dcterms:W3CDTF">2020-07-13T09:39:00Z</dcterms:created>
  <dcterms:modified xsi:type="dcterms:W3CDTF">2020-07-28T07:22:00Z</dcterms:modified>
</cp:coreProperties>
</file>